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1E43" w14:textId="7405D39C" w:rsidR="00637860" w:rsidRDefault="00FE705B" w:rsidP="00E376B3">
      <w:pPr>
        <w:pStyle w:val="Heading1"/>
      </w:pPr>
      <w:r>
        <w:t>Land Use</w:t>
      </w:r>
    </w:p>
    <w:p w14:paraId="2DAAFDFF" w14:textId="2B10A56D" w:rsidR="007E018C" w:rsidRDefault="007E018C" w:rsidP="00E376B3">
      <w:pPr>
        <w:pStyle w:val="Heading"/>
      </w:pPr>
      <w:r w:rsidRPr="007E018C">
        <w:t>Introduction</w:t>
      </w:r>
      <w:bookmarkStart w:id="0" w:name="_Hlk74143190"/>
    </w:p>
    <w:p w14:paraId="09818265" w14:textId="5FEB0ADD" w:rsidR="00677B6C" w:rsidRPr="000747C3" w:rsidRDefault="00677B6C" w:rsidP="00677B6C">
      <w:pPr>
        <w:jc w:val="both"/>
      </w:pPr>
      <w:r w:rsidRPr="000747C3">
        <w:t xml:space="preserve">The Land Use element’s purpose within Mashpee’s Comprehensive Plan is to establish a plan for land use in Mashpee over the next 20 years. This involves </w:t>
      </w:r>
      <w:r w:rsidR="00F63EAE">
        <w:t xml:space="preserve">recommendations for </w:t>
      </w:r>
      <w:r w:rsidRPr="000747C3">
        <w:t>updating current, as well as proposing new</w:t>
      </w:r>
      <w:r w:rsidR="00F63EAE">
        <w:t>,</w:t>
      </w:r>
      <w:r w:rsidRPr="000747C3">
        <w:t xml:space="preserve"> land use controls and regulations designed to implement this plan. As defined by </w:t>
      </w:r>
      <w:r w:rsidR="007A0AE8" w:rsidRPr="000747C3">
        <w:t>t</w:t>
      </w:r>
      <w:r w:rsidRPr="000747C3">
        <w:t>he Guidebook to Massachusetts Land Use 2021 by the American Planning Association, a land use plan shall be designed to provide a basis for decision making for the long-term future of the community and internally consistent in its policies, forecasts, and standards</w:t>
      </w:r>
      <w:sdt>
        <w:sdtPr>
          <w:id w:val="59912855"/>
          <w:citation/>
        </w:sdtPr>
        <w:sdtEndPr/>
        <w:sdtContent>
          <w:r w:rsidRPr="000747C3">
            <w:fldChar w:fldCharType="begin"/>
          </w:r>
          <w:r w:rsidR="00514429" w:rsidRPr="000747C3">
            <w:instrText xml:space="preserve">CITATION Mit21 \l 1033 </w:instrText>
          </w:r>
          <w:r w:rsidRPr="000747C3">
            <w:fldChar w:fldCharType="separate"/>
          </w:r>
          <w:r w:rsidR="00667C28" w:rsidRPr="000747C3">
            <w:rPr>
              <w:noProof/>
            </w:rPr>
            <w:t xml:space="preserve"> (Mitchell &amp; Ritchie, 2021)</w:t>
          </w:r>
          <w:r w:rsidRPr="000747C3">
            <w:fldChar w:fldCharType="end"/>
          </w:r>
        </w:sdtContent>
      </w:sdt>
      <w:r w:rsidRPr="000747C3">
        <w:t>.</w:t>
      </w:r>
      <w:r w:rsidR="00C37A3A" w:rsidRPr="000747C3">
        <w:t xml:space="preserve"> </w:t>
      </w:r>
      <w:r w:rsidR="00C37A3A" w:rsidRPr="00E376B3">
        <w:t xml:space="preserve">Chapter </w:t>
      </w:r>
      <w:r w:rsidR="009743B9" w:rsidRPr="00E376B3">
        <w:t>1</w:t>
      </w:r>
      <w:r w:rsidR="00C37A3A" w:rsidRPr="00E376B3">
        <w:rPr>
          <w:i/>
          <w:iCs/>
        </w:rPr>
        <w:t>, Housing,</w:t>
      </w:r>
      <w:r w:rsidR="00C37A3A" w:rsidRPr="00E376B3">
        <w:t xml:space="preserve"> </w:t>
      </w:r>
      <w:r w:rsidR="009743B9" w:rsidRPr="000747C3">
        <w:t xml:space="preserve">provides </w:t>
      </w:r>
      <w:r w:rsidR="00C37A3A" w:rsidRPr="00E376B3">
        <w:t>additional information on development and housing trends.</w:t>
      </w:r>
    </w:p>
    <w:p w14:paraId="483652C7" w14:textId="35EA9307" w:rsidR="00677B6C" w:rsidRDefault="00677B6C" w:rsidP="00677B6C">
      <w:pPr>
        <w:jc w:val="both"/>
      </w:pPr>
      <w:r>
        <w:t xml:space="preserve">The </w:t>
      </w:r>
      <w:r w:rsidR="00514429">
        <w:t>L</w:t>
      </w:r>
      <w:r>
        <w:t xml:space="preserve">and </w:t>
      </w:r>
      <w:r w:rsidR="00514429">
        <w:t>U</w:t>
      </w:r>
      <w:r>
        <w:t xml:space="preserve">se </w:t>
      </w:r>
      <w:r w:rsidR="00514429">
        <w:t>C</w:t>
      </w:r>
      <w:r>
        <w:t>hapter is the centerpiece of comprehensive planning, connecting all other elements of the plan</w:t>
      </w:r>
      <w:r w:rsidR="00514429">
        <w:t xml:space="preserve"> and</w:t>
      </w:r>
      <w:r>
        <w:t xml:space="preserve"> serving as a guide for thoughtful municipal decision</w:t>
      </w:r>
      <w:r w:rsidR="000150AC">
        <w:t>-</w:t>
      </w:r>
      <w:r>
        <w:t xml:space="preserve">making on how to best manage land in </w:t>
      </w:r>
      <w:r w:rsidR="00514429">
        <w:t>Mashpee</w:t>
      </w:r>
      <w:r>
        <w:t xml:space="preserve">. This element discusses the existing conditions in </w:t>
      </w:r>
      <w:r w:rsidR="009743B9">
        <w:t>Town</w:t>
      </w:r>
      <w:r>
        <w:t>, including land use</w:t>
      </w:r>
      <w:r w:rsidR="00D91941">
        <w:t xml:space="preserve"> and</w:t>
      </w:r>
      <w:r>
        <w:t xml:space="preserve"> zoning</w:t>
      </w:r>
      <w:r w:rsidR="00D91941">
        <w:t xml:space="preserve"> </w:t>
      </w:r>
      <w:r>
        <w:t>development</w:t>
      </w:r>
      <w:r w:rsidR="00F63EAE">
        <w:t xml:space="preserve"> as well as identify challenges and opportunities associated with land use. </w:t>
      </w:r>
    </w:p>
    <w:p w14:paraId="05EEB068" w14:textId="0E7C1BDD" w:rsidR="00812D01" w:rsidRDefault="000306CA" w:rsidP="00E376B3">
      <w:pPr>
        <w:pStyle w:val="Heading"/>
      </w:pPr>
      <w:r>
        <w:t>Existing Conditions</w:t>
      </w:r>
    </w:p>
    <w:p w14:paraId="3B2E7D51" w14:textId="737C24C8" w:rsidR="00257C0D" w:rsidRPr="00812D01" w:rsidRDefault="00812D01" w:rsidP="00812D01">
      <w:pPr>
        <w:jc w:val="both"/>
      </w:pPr>
      <w:r>
        <w:t>To establish</w:t>
      </w:r>
      <w:r w:rsidRPr="00B16272">
        <w:t xml:space="preserve"> </w:t>
      </w:r>
      <w:r>
        <w:t xml:space="preserve">a plan and propose new land use controls and regulations, an updated inventory of existing land use conditions is required. This section includes an overview of existing land use conditions and </w:t>
      </w:r>
      <w:r>
        <w:rPr>
          <w:rFonts w:cs="Arial"/>
        </w:rPr>
        <w:t>current zoning</w:t>
      </w:r>
      <w:r>
        <w:t xml:space="preserve"> in Mashpee.</w:t>
      </w:r>
    </w:p>
    <w:p w14:paraId="73227C0E" w14:textId="2D4DF991" w:rsidR="001F15F6" w:rsidRPr="0022730D" w:rsidRDefault="001F15F6" w:rsidP="00E376B3">
      <w:pPr>
        <w:pStyle w:val="Heading3"/>
      </w:pPr>
      <w:r>
        <w:t>Existing Land Use</w:t>
      </w:r>
    </w:p>
    <w:p w14:paraId="0BE87ED5" w14:textId="33DE5FEE" w:rsidR="00FA193D" w:rsidRDefault="00FA193D" w:rsidP="00FA193D">
      <w:pPr>
        <w:jc w:val="both"/>
      </w:pPr>
      <w:r w:rsidRPr="00D56DD5">
        <w:t>Mashpee is home to the federally recognized Mashpee Wampanoag Tribe whose people have been living in Mashpee and the surrounding region for more than 1</w:t>
      </w:r>
      <w:r>
        <w:t>2</w:t>
      </w:r>
      <w:r w:rsidRPr="00D56DD5">
        <w:t>,000 years.</w:t>
      </w:r>
      <w:r>
        <w:t xml:space="preserve"> Approximately 150 acres of land in Mashpee represents the Tribe’s initial reservation where </w:t>
      </w:r>
      <w:r w:rsidR="009743B9">
        <w:t xml:space="preserve">it </w:t>
      </w:r>
      <w:r>
        <w:t>can exercise full tribal sovereignty</w:t>
      </w:r>
      <w:r w:rsidR="009743B9">
        <w:t xml:space="preserve">, </w:t>
      </w:r>
      <w:r>
        <w:t>including the</w:t>
      </w:r>
      <w:r w:rsidRPr="00D21E86">
        <w:t xml:space="preserve"> right to hunt, fish, and gather</w:t>
      </w:r>
      <w:r w:rsidR="00CA69BC">
        <w:t xml:space="preserve"> </w:t>
      </w:r>
      <w:sdt>
        <w:sdtPr>
          <w:id w:val="922232390"/>
          <w:citation/>
        </w:sdtPr>
        <w:sdtEndPr/>
        <w:sdtContent>
          <w:r w:rsidR="00CA69BC">
            <w:fldChar w:fldCharType="begin"/>
          </w:r>
          <w:r w:rsidR="00CA69BC">
            <w:instrText xml:space="preserve"> CITATION Mas5 \l 1033 </w:instrText>
          </w:r>
          <w:r w:rsidR="00CA69BC">
            <w:fldChar w:fldCharType="separate"/>
          </w:r>
          <w:r w:rsidR="00CA69BC">
            <w:rPr>
              <w:noProof/>
            </w:rPr>
            <w:t xml:space="preserve"> (Mashpee Wampanoag Tribe, n.d.)</w:t>
          </w:r>
          <w:r w:rsidR="00CA69BC">
            <w:fldChar w:fldCharType="end"/>
          </w:r>
        </w:sdtContent>
      </w:sdt>
      <w:r w:rsidR="009743B9">
        <w:t>. This area</w:t>
      </w:r>
      <w:r w:rsidRPr="00D21E86">
        <w:t xml:space="preserve"> hold</w:t>
      </w:r>
      <w:r w:rsidR="009743B9">
        <w:t>s</w:t>
      </w:r>
      <w:r w:rsidRPr="00D21E86">
        <w:t xml:space="preserve"> critical importance to the survival of traditions, lifeways</w:t>
      </w:r>
      <w:r>
        <w:t>,</w:t>
      </w:r>
      <w:r w:rsidRPr="00D21E86">
        <w:t xml:space="preserve"> and culture </w:t>
      </w:r>
      <w:r w:rsidR="00CA69BC">
        <w:t>for</w:t>
      </w:r>
      <w:r w:rsidR="00CA69BC" w:rsidRPr="00D21E86">
        <w:t xml:space="preserve"> </w:t>
      </w:r>
      <w:r w:rsidRPr="00D21E86">
        <w:t>the Wampanoag Trib</w:t>
      </w:r>
      <w:r>
        <w:t>e</w:t>
      </w:r>
      <w:sdt>
        <w:sdtPr>
          <w:id w:val="-2093992375"/>
          <w:citation/>
        </w:sdtPr>
        <w:sdtEndPr/>
        <w:sdtContent>
          <w:r w:rsidRPr="00D21E86">
            <w:fldChar w:fldCharType="begin"/>
          </w:r>
          <w:r w:rsidRPr="00D21E86">
            <w:instrText xml:space="preserve"> CITATION Mas \l 1033 </w:instrText>
          </w:r>
          <w:r w:rsidRPr="00D21E86">
            <w:fldChar w:fldCharType="separate"/>
          </w:r>
          <w:r w:rsidR="00667C28">
            <w:rPr>
              <w:noProof/>
            </w:rPr>
            <w:t xml:space="preserve"> (Mashpee Wampanoag Tribe)</w:t>
          </w:r>
          <w:r w:rsidRPr="00D21E86">
            <w:fldChar w:fldCharType="end"/>
          </w:r>
        </w:sdtContent>
      </w:sdt>
      <w:r w:rsidRPr="00D21E86">
        <w:t>. The Mashpee Wampanoag Tribe regulates Tribal member hunting, fishing</w:t>
      </w:r>
      <w:r>
        <w:t>,</w:t>
      </w:r>
      <w:r w:rsidRPr="00D21E86">
        <w:t xml:space="preserve"> and gathering rights through traditional and codified Tribal law</w:t>
      </w:r>
      <w:sdt>
        <w:sdtPr>
          <w:id w:val="-407613250"/>
          <w:citation/>
        </w:sdtPr>
        <w:sdtEndPr/>
        <w:sdtContent>
          <w:r w:rsidRPr="00D21E86">
            <w:fldChar w:fldCharType="begin"/>
          </w:r>
          <w:r w:rsidRPr="00D21E86">
            <w:instrText xml:space="preserve"> CITATION Mas \l 1033 </w:instrText>
          </w:r>
          <w:r w:rsidRPr="00D21E86">
            <w:fldChar w:fldCharType="separate"/>
          </w:r>
          <w:r w:rsidR="00667C28">
            <w:rPr>
              <w:noProof/>
            </w:rPr>
            <w:t xml:space="preserve"> (Mashpee Wampanoag Tribe)</w:t>
          </w:r>
          <w:r w:rsidRPr="00D21E86">
            <w:fldChar w:fldCharType="end"/>
          </w:r>
        </w:sdtContent>
      </w:sdt>
      <w:r w:rsidRPr="00D21E86">
        <w:t>.</w:t>
      </w:r>
      <w:r w:rsidRPr="00581B90">
        <w:t xml:space="preserve"> </w:t>
      </w:r>
    </w:p>
    <w:p w14:paraId="6C140334" w14:textId="46C74613" w:rsidR="00677B6C" w:rsidRDefault="001F15F6" w:rsidP="001F15F6">
      <w:pPr>
        <w:jc w:val="both"/>
      </w:pPr>
      <w:r w:rsidRPr="000747C3">
        <w:t>Mashpee has a rural resort character, consisting mainly of residential areas, active recreation</w:t>
      </w:r>
      <w:r w:rsidR="003A794B" w:rsidRPr="000747C3">
        <w:t>al</w:t>
      </w:r>
      <w:r w:rsidRPr="000747C3">
        <w:t xml:space="preserve"> facilities</w:t>
      </w:r>
      <w:r w:rsidR="002A740A" w:rsidRPr="000747C3">
        <w:t xml:space="preserve">, </w:t>
      </w:r>
      <w:r w:rsidRPr="000747C3">
        <w:t>forests, and wetlands</w:t>
      </w:r>
      <w:sdt>
        <w:sdtPr>
          <w:id w:val="-1973433237"/>
          <w:citation/>
        </w:sdtPr>
        <w:sdtEndPr/>
        <w:sdtContent>
          <w:r w:rsidRPr="000747C3">
            <w:fldChar w:fldCharType="begin"/>
          </w:r>
          <w:r w:rsidRPr="000747C3">
            <w:instrText xml:space="preserve"> CITATION Mas091 \l 1033 </w:instrText>
          </w:r>
          <w:r w:rsidRPr="000747C3">
            <w:fldChar w:fldCharType="separate"/>
          </w:r>
          <w:r w:rsidR="00667C28" w:rsidRPr="000747C3">
            <w:rPr>
              <w:noProof/>
            </w:rPr>
            <w:t xml:space="preserve"> (MassGIS, 2009)</w:t>
          </w:r>
          <w:r w:rsidRPr="000747C3">
            <w:fldChar w:fldCharType="end"/>
          </w:r>
        </w:sdtContent>
      </w:sdt>
      <w:r w:rsidRPr="000747C3">
        <w:t xml:space="preserve">. </w:t>
      </w:r>
      <w:r w:rsidR="00E94E39" w:rsidRPr="000747C3">
        <w:t>There are many</w:t>
      </w:r>
      <w:r w:rsidR="00FB3581" w:rsidRPr="000747C3">
        <w:t xml:space="preserve"> sites, structures, rural landscapes, and significant archaeological sites that are threatened by suburban pressures from Falmouth and Barnstable</w:t>
      </w:r>
      <w:r w:rsidR="00D91941" w:rsidRPr="000747C3">
        <w:t xml:space="preserve"> </w:t>
      </w:r>
      <w:sdt>
        <w:sdtPr>
          <w:id w:val="1091590116"/>
          <w:citation/>
        </w:sdtPr>
        <w:sdtEndPr/>
        <w:sdtContent>
          <w:r w:rsidR="00D91941" w:rsidRPr="000747C3">
            <w:fldChar w:fldCharType="begin"/>
          </w:r>
          <w:r w:rsidR="00D91941" w:rsidRPr="000747C3">
            <w:instrText xml:space="preserve"> CITATION Mas84 \l 1033 </w:instrText>
          </w:r>
          <w:r w:rsidR="00D91941" w:rsidRPr="000747C3">
            <w:fldChar w:fldCharType="separate"/>
          </w:r>
          <w:r w:rsidR="00667C28" w:rsidRPr="000747C3">
            <w:rPr>
              <w:noProof/>
            </w:rPr>
            <w:t>(Massachusetts Historical Commission, 1984)</w:t>
          </w:r>
          <w:r w:rsidR="00D91941" w:rsidRPr="000747C3">
            <w:fldChar w:fldCharType="end"/>
          </w:r>
        </w:sdtContent>
      </w:sdt>
      <w:r w:rsidR="00CA69BC" w:rsidRPr="000747C3">
        <w:t xml:space="preserve">. </w:t>
      </w:r>
      <w:r w:rsidR="003431C6" w:rsidRPr="000747C3">
        <w:t xml:space="preserve">Further information on </w:t>
      </w:r>
      <w:r w:rsidR="00514429" w:rsidRPr="000747C3">
        <w:t xml:space="preserve">the </w:t>
      </w:r>
      <w:r w:rsidR="003431C6" w:rsidRPr="000747C3">
        <w:t xml:space="preserve">protection and preservation of important historic, cultural, and archaeological features of </w:t>
      </w:r>
      <w:r w:rsidR="00514429" w:rsidRPr="000747C3">
        <w:t xml:space="preserve">the </w:t>
      </w:r>
      <w:r w:rsidR="009743B9" w:rsidRPr="000747C3">
        <w:t>Town</w:t>
      </w:r>
      <w:r w:rsidR="003A794B" w:rsidRPr="000747C3">
        <w:t xml:space="preserve"> </w:t>
      </w:r>
      <w:r w:rsidR="003431C6" w:rsidRPr="000747C3">
        <w:t xml:space="preserve">is discussed in </w:t>
      </w:r>
      <w:r w:rsidR="00CA69BC" w:rsidRPr="000747C3">
        <w:t xml:space="preserve">Chapter 6, </w:t>
      </w:r>
      <w:r w:rsidR="003431C6" w:rsidRPr="00E376B3">
        <w:rPr>
          <w:i/>
          <w:iCs/>
        </w:rPr>
        <w:t>Heritage and Preservation</w:t>
      </w:r>
      <w:r w:rsidR="003431C6" w:rsidRPr="000747C3">
        <w:t xml:space="preserve">. </w:t>
      </w:r>
      <w:r w:rsidR="00677B6C" w:rsidRPr="000747C3">
        <w:t>Land use changes that have occurred between 1951-2005 are summarized in Table 5-1.</w:t>
      </w:r>
      <w:r w:rsidR="00677B6C">
        <w:t xml:space="preserve"> </w:t>
      </w:r>
      <w:r w:rsidR="007369E9">
        <w:t xml:space="preserve">During that time period the Town has lost a significant amount of agricultural and forest land to development. In that same time </w:t>
      </w:r>
      <w:proofErr w:type="gramStart"/>
      <w:r w:rsidR="007369E9">
        <w:t>period</w:t>
      </w:r>
      <w:proofErr w:type="gramEnd"/>
      <w:r w:rsidR="007369E9">
        <w:t xml:space="preserve"> the Town acquired almost 700 acres of recreation and public space.</w:t>
      </w:r>
    </w:p>
    <w:tbl>
      <w:tblPr>
        <w:tblStyle w:val="TableGrid1"/>
        <w:tblW w:w="0" w:type="auto"/>
        <w:jc w:val="center"/>
        <w:tblLook w:val="04A0" w:firstRow="1" w:lastRow="0" w:firstColumn="1" w:lastColumn="0" w:noHBand="0" w:noVBand="1"/>
      </w:tblPr>
      <w:tblGrid>
        <w:gridCol w:w="2605"/>
        <w:gridCol w:w="1124"/>
        <w:gridCol w:w="1124"/>
        <w:gridCol w:w="1124"/>
        <w:gridCol w:w="1124"/>
        <w:gridCol w:w="1124"/>
        <w:gridCol w:w="1125"/>
      </w:tblGrid>
      <w:tr w:rsidR="00677B6C" w:rsidRPr="00CA69BC" w14:paraId="663A89A3" w14:textId="77777777" w:rsidTr="00E376B3">
        <w:trPr>
          <w:trHeight w:val="288"/>
          <w:tblHeader/>
          <w:jc w:val="center"/>
        </w:trPr>
        <w:tc>
          <w:tcPr>
            <w:tcW w:w="9350" w:type="dxa"/>
            <w:gridSpan w:val="7"/>
            <w:tcBorders>
              <w:bottom w:val="single" w:sz="4" w:space="0" w:color="auto"/>
            </w:tcBorders>
            <w:shd w:val="clear" w:color="auto" w:fill="007FB2"/>
            <w:vAlign w:val="center"/>
          </w:tcPr>
          <w:p w14:paraId="56CBDF18" w14:textId="5CFBFF5B" w:rsidR="00677B6C" w:rsidRPr="00CA69BC" w:rsidRDefault="00677B6C" w:rsidP="00E376B3">
            <w:pPr>
              <w:rPr>
                <w:rFonts w:cs="Arial"/>
                <w:b/>
                <w:bCs/>
                <w:color w:val="FFFFFF" w:themeColor="background1"/>
                <w:sz w:val="20"/>
                <w:szCs w:val="20"/>
              </w:rPr>
            </w:pPr>
            <w:r w:rsidRPr="00CA69BC">
              <w:rPr>
                <w:rFonts w:cs="Arial"/>
                <w:b/>
                <w:bCs/>
                <w:color w:val="FFFFFF" w:themeColor="background1"/>
                <w:sz w:val="20"/>
                <w:szCs w:val="20"/>
              </w:rPr>
              <w:t xml:space="preserve">Table </w:t>
            </w:r>
            <w:r w:rsidR="0022730D" w:rsidRPr="00CA69BC">
              <w:rPr>
                <w:rFonts w:cs="Arial"/>
                <w:b/>
                <w:bCs/>
                <w:color w:val="FFFFFF" w:themeColor="background1"/>
                <w:sz w:val="20"/>
                <w:szCs w:val="20"/>
              </w:rPr>
              <w:t>5</w:t>
            </w:r>
            <w:r w:rsidRPr="00CA69BC">
              <w:rPr>
                <w:rFonts w:cs="Arial"/>
                <w:b/>
                <w:bCs/>
                <w:color w:val="FFFFFF" w:themeColor="background1"/>
                <w:sz w:val="20"/>
                <w:szCs w:val="20"/>
              </w:rPr>
              <w:t>-</w:t>
            </w:r>
            <w:r w:rsidR="005D4760">
              <w:rPr>
                <w:rFonts w:cs="Arial"/>
                <w:b/>
                <w:bCs/>
                <w:color w:val="FFFFFF" w:themeColor="background1"/>
                <w:sz w:val="20"/>
                <w:szCs w:val="20"/>
              </w:rPr>
              <w:fldChar w:fldCharType="begin"/>
            </w:r>
            <w:r w:rsidR="005D4760">
              <w:rPr>
                <w:rFonts w:cs="Arial"/>
                <w:b/>
                <w:bCs/>
                <w:color w:val="FFFFFF" w:themeColor="background1"/>
                <w:sz w:val="20"/>
                <w:szCs w:val="20"/>
              </w:rPr>
              <w:instrText xml:space="preserve"> SEQ Table \* MERGEFORMAT </w:instrText>
            </w:r>
            <w:r w:rsidR="005D4760">
              <w:rPr>
                <w:rFonts w:cs="Arial"/>
                <w:b/>
                <w:bCs/>
                <w:color w:val="FFFFFF" w:themeColor="background1"/>
                <w:sz w:val="20"/>
                <w:szCs w:val="20"/>
              </w:rPr>
              <w:fldChar w:fldCharType="separate"/>
            </w:r>
            <w:r w:rsidR="005D4760">
              <w:rPr>
                <w:rFonts w:cs="Arial"/>
                <w:b/>
                <w:bCs/>
                <w:noProof/>
                <w:color w:val="FFFFFF" w:themeColor="background1"/>
                <w:sz w:val="20"/>
                <w:szCs w:val="20"/>
              </w:rPr>
              <w:t>1</w:t>
            </w:r>
            <w:r w:rsidR="005D4760">
              <w:rPr>
                <w:rFonts w:cs="Arial"/>
                <w:b/>
                <w:bCs/>
                <w:color w:val="FFFFFF" w:themeColor="background1"/>
                <w:sz w:val="20"/>
                <w:szCs w:val="20"/>
              </w:rPr>
              <w:fldChar w:fldCharType="end"/>
            </w:r>
            <w:r w:rsidR="00CA69BC">
              <w:rPr>
                <w:rFonts w:cs="Arial"/>
                <w:b/>
                <w:bCs/>
                <w:color w:val="FFFFFF" w:themeColor="background1"/>
                <w:sz w:val="20"/>
                <w:szCs w:val="20"/>
              </w:rPr>
              <w:t xml:space="preserve">. </w:t>
            </w:r>
            <w:r w:rsidRPr="00CA69BC">
              <w:rPr>
                <w:rFonts w:cs="Arial"/>
                <w:b/>
                <w:bCs/>
                <w:color w:val="FFFFFF" w:themeColor="background1"/>
                <w:sz w:val="20"/>
                <w:szCs w:val="20"/>
              </w:rPr>
              <w:t>Land Use Over Time</w:t>
            </w:r>
          </w:p>
        </w:tc>
      </w:tr>
      <w:tr w:rsidR="00677B6C" w:rsidRPr="00CA69BC" w14:paraId="73A399F8" w14:textId="77777777" w:rsidTr="00E376B3">
        <w:trPr>
          <w:trHeight w:val="288"/>
          <w:tblHeader/>
          <w:jc w:val="center"/>
        </w:trPr>
        <w:tc>
          <w:tcPr>
            <w:tcW w:w="2605" w:type="dxa"/>
            <w:shd w:val="clear" w:color="auto" w:fill="007FB2"/>
            <w:vAlign w:val="center"/>
          </w:tcPr>
          <w:p w14:paraId="6EBF1DF6" w14:textId="6C751866" w:rsidR="00677B6C" w:rsidRPr="00E376B3" w:rsidRDefault="00677B6C" w:rsidP="00237C3B">
            <w:pPr>
              <w:jc w:val="center"/>
              <w:rPr>
                <w:b/>
                <w:bCs/>
                <w:color w:val="FFFFFF" w:themeColor="background1"/>
                <w:sz w:val="20"/>
                <w:szCs w:val="20"/>
              </w:rPr>
            </w:pPr>
            <w:r w:rsidRPr="00E376B3">
              <w:rPr>
                <w:b/>
                <w:bCs/>
                <w:color w:val="FFFFFF" w:themeColor="background1"/>
                <w:sz w:val="20"/>
                <w:szCs w:val="20"/>
              </w:rPr>
              <w:t>Class of Land Use</w:t>
            </w:r>
          </w:p>
        </w:tc>
        <w:tc>
          <w:tcPr>
            <w:tcW w:w="1124" w:type="dxa"/>
            <w:shd w:val="clear" w:color="auto" w:fill="007FB2"/>
            <w:vAlign w:val="center"/>
          </w:tcPr>
          <w:p w14:paraId="34ED47DA" w14:textId="77777777" w:rsidR="00677B6C" w:rsidRPr="00E376B3" w:rsidRDefault="00677B6C" w:rsidP="00237C3B">
            <w:pPr>
              <w:jc w:val="center"/>
              <w:rPr>
                <w:b/>
                <w:bCs/>
                <w:color w:val="FFFFFF" w:themeColor="background1"/>
                <w:sz w:val="20"/>
                <w:szCs w:val="20"/>
              </w:rPr>
            </w:pPr>
            <w:r w:rsidRPr="00E376B3">
              <w:rPr>
                <w:b/>
                <w:bCs/>
                <w:color w:val="FFFFFF" w:themeColor="background1"/>
                <w:sz w:val="20"/>
                <w:szCs w:val="20"/>
              </w:rPr>
              <w:t>1951</w:t>
            </w:r>
          </w:p>
        </w:tc>
        <w:tc>
          <w:tcPr>
            <w:tcW w:w="1124" w:type="dxa"/>
            <w:shd w:val="clear" w:color="auto" w:fill="007FB2"/>
            <w:vAlign w:val="center"/>
          </w:tcPr>
          <w:p w14:paraId="0DEA35D0" w14:textId="77777777" w:rsidR="00677B6C" w:rsidRPr="00E376B3" w:rsidRDefault="00677B6C" w:rsidP="00237C3B">
            <w:pPr>
              <w:jc w:val="center"/>
              <w:rPr>
                <w:b/>
                <w:bCs/>
                <w:color w:val="FFFFFF" w:themeColor="background1"/>
                <w:sz w:val="20"/>
                <w:szCs w:val="20"/>
              </w:rPr>
            </w:pPr>
            <w:r w:rsidRPr="00E376B3">
              <w:rPr>
                <w:b/>
                <w:bCs/>
                <w:color w:val="FFFFFF" w:themeColor="background1"/>
                <w:sz w:val="20"/>
                <w:szCs w:val="20"/>
              </w:rPr>
              <w:t>1971</w:t>
            </w:r>
          </w:p>
        </w:tc>
        <w:tc>
          <w:tcPr>
            <w:tcW w:w="1124" w:type="dxa"/>
            <w:shd w:val="clear" w:color="auto" w:fill="007FB2"/>
            <w:vAlign w:val="center"/>
          </w:tcPr>
          <w:p w14:paraId="6D1F2834" w14:textId="77777777" w:rsidR="00677B6C" w:rsidRPr="00E376B3" w:rsidRDefault="00677B6C" w:rsidP="00237C3B">
            <w:pPr>
              <w:jc w:val="center"/>
              <w:rPr>
                <w:b/>
                <w:bCs/>
                <w:color w:val="FFFFFF" w:themeColor="background1"/>
                <w:sz w:val="20"/>
                <w:szCs w:val="20"/>
              </w:rPr>
            </w:pPr>
            <w:r w:rsidRPr="00E376B3">
              <w:rPr>
                <w:b/>
                <w:bCs/>
                <w:color w:val="FFFFFF" w:themeColor="background1"/>
                <w:sz w:val="20"/>
                <w:szCs w:val="20"/>
              </w:rPr>
              <w:t>1985</w:t>
            </w:r>
          </w:p>
        </w:tc>
        <w:tc>
          <w:tcPr>
            <w:tcW w:w="1124" w:type="dxa"/>
            <w:shd w:val="clear" w:color="auto" w:fill="007FB2"/>
            <w:vAlign w:val="center"/>
          </w:tcPr>
          <w:p w14:paraId="5F564335" w14:textId="77777777" w:rsidR="00677B6C" w:rsidRPr="00E376B3" w:rsidRDefault="00677B6C" w:rsidP="00237C3B">
            <w:pPr>
              <w:jc w:val="center"/>
              <w:rPr>
                <w:b/>
                <w:bCs/>
                <w:color w:val="FFFFFF" w:themeColor="background1"/>
                <w:sz w:val="20"/>
                <w:szCs w:val="20"/>
              </w:rPr>
            </w:pPr>
            <w:r w:rsidRPr="00E376B3">
              <w:rPr>
                <w:b/>
                <w:bCs/>
                <w:color w:val="FFFFFF" w:themeColor="background1"/>
                <w:sz w:val="20"/>
                <w:szCs w:val="20"/>
              </w:rPr>
              <w:t>1999</w:t>
            </w:r>
          </w:p>
        </w:tc>
        <w:tc>
          <w:tcPr>
            <w:tcW w:w="1124" w:type="dxa"/>
            <w:shd w:val="clear" w:color="auto" w:fill="007FB2"/>
            <w:vAlign w:val="center"/>
          </w:tcPr>
          <w:p w14:paraId="0B5D2CE3" w14:textId="77777777" w:rsidR="00677B6C" w:rsidRPr="00E376B3" w:rsidRDefault="00677B6C" w:rsidP="00237C3B">
            <w:pPr>
              <w:jc w:val="center"/>
              <w:rPr>
                <w:b/>
                <w:bCs/>
                <w:color w:val="FFFFFF" w:themeColor="background1"/>
                <w:sz w:val="20"/>
                <w:szCs w:val="20"/>
              </w:rPr>
            </w:pPr>
            <w:r w:rsidRPr="00E376B3">
              <w:rPr>
                <w:b/>
                <w:bCs/>
                <w:color w:val="FFFFFF" w:themeColor="background1"/>
                <w:sz w:val="20"/>
                <w:szCs w:val="20"/>
              </w:rPr>
              <w:t>2005</w:t>
            </w:r>
          </w:p>
        </w:tc>
        <w:tc>
          <w:tcPr>
            <w:tcW w:w="1125" w:type="dxa"/>
            <w:shd w:val="clear" w:color="auto" w:fill="007FB2"/>
            <w:vAlign w:val="center"/>
          </w:tcPr>
          <w:p w14:paraId="108FB1C5" w14:textId="5AD7562C" w:rsidR="00677B6C" w:rsidRPr="00E376B3" w:rsidRDefault="00677B6C" w:rsidP="00237C3B">
            <w:pPr>
              <w:jc w:val="center"/>
              <w:rPr>
                <w:b/>
                <w:bCs/>
                <w:color w:val="FFFFFF" w:themeColor="background1"/>
                <w:sz w:val="20"/>
                <w:szCs w:val="20"/>
              </w:rPr>
            </w:pPr>
            <w:r w:rsidRPr="00E376B3">
              <w:rPr>
                <w:b/>
                <w:bCs/>
                <w:color w:val="FFFFFF" w:themeColor="background1"/>
                <w:sz w:val="20"/>
                <w:szCs w:val="20"/>
              </w:rPr>
              <w:t>Change 19</w:t>
            </w:r>
            <w:r w:rsidR="000B5E4B" w:rsidRPr="00E376B3">
              <w:rPr>
                <w:b/>
                <w:bCs/>
                <w:color w:val="FFFFFF" w:themeColor="background1"/>
                <w:sz w:val="20"/>
                <w:szCs w:val="20"/>
              </w:rPr>
              <w:t>5</w:t>
            </w:r>
            <w:r w:rsidRPr="00E376B3">
              <w:rPr>
                <w:b/>
                <w:bCs/>
                <w:color w:val="FFFFFF" w:themeColor="background1"/>
                <w:sz w:val="20"/>
                <w:szCs w:val="20"/>
              </w:rPr>
              <w:t>1-2005</w:t>
            </w:r>
          </w:p>
        </w:tc>
      </w:tr>
      <w:tr w:rsidR="00677B6C" w:rsidRPr="00CA69BC" w14:paraId="60551F90" w14:textId="77777777" w:rsidTr="00E376B3">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6656C344" w14:textId="77777777" w:rsidR="00677B6C" w:rsidRPr="00CA69BC" w:rsidRDefault="00677B6C" w:rsidP="00E376B3">
            <w:pPr>
              <w:jc w:val="center"/>
              <w:rPr>
                <w:color w:val="262626" w:themeColor="text1" w:themeTint="D9"/>
                <w:sz w:val="20"/>
                <w:szCs w:val="20"/>
              </w:rPr>
            </w:pPr>
            <w:r w:rsidRPr="00CA69BC">
              <w:rPr>
                <w:color w:val="000000" w:themeColor="text1"/>
                <w:sz w:val="20"/>
                <w:szCs w:val="20"/>
              </w:rPr>
              <w:t>Agriculture Land</w:t>
            </w:r>
          </w:p>
        </w:tc>
        <w:tc>
          <w:tcPr>
            <w:tcW w:w="1124" w:type="dxa"/>
            <w:tcBorders>
              <w:top w:val="single" w:sz="4" w:space="0" w:color="auto"/>
              <w:left w:val="single" w:sz="4" w:space="0" w:color="auto"/>
              <w:bottom w:val="single" w:sz="4" w:space="0" w:color="auto"/>
              <w:right w:val="single" w:sz="4" w:space="0" w:color="auto"/>
            </w:tcBorders>
            <w:vAlign w:val="center"/>
          </w:tcPr>
          <w:p w14:paraId="298DF16E" w14:textId="4A802D62" w:rsidR="00677B6C" w:rsidRPr="00CA69BC" w:rsidRDefault="000B5E4B" w:rsidP="00237C3B">
            <w:pPr>
              <w:jc w:val="center"/>
              <w:rPr>
                <w:rFonts w:cstheme="minorHAnsi"/>
                <w:sz w:val="20"/>
                <w:szCs w:val="20"/>
              </w:rPr>
            </w:pPr>
            <w:r w:rsidRPr="00CA69BC">
              <w:rPr>
                <w:rFonts w:cstheme="minorHAnsi"/>
                <w:sz w:val="20"/>
                <w:szCs w:val="20"/>
              </w:rPr>
              <w:t>503.</w:t>
            </w:r>
            <w:r w:rsidR="000747C3">
              <w:rPr>
                <w:rFonts w:cstheme="minorHAnsi"/>
                <w:sz w:val="20"/>
                <w:szCs w:val="20"/>
              </w:rPr>
              <w:t>1</w:t>
            </w:r>
          </w:p>
        </w:tc>
        <w:tc>
          <w:tcPr>
            <w:tcW w:w="1124" w:type="dxa"/>
            <w:tcBorders>
              <w:top w:val="single" w:sz="4" w:space="0" w:color="auto"/>
              <w:left w:val="single" w:sz="4" w:space="0" w:color="auto"/>
              <w:bottom w:val="single" w:sz="4" w:space="0" w:color="auto"/>
              <w:right w:val="single" w:sz="4" w:space="0" w:color="auto"/>
            </w:tcBorders>
            <w:vAlign w:val="center"/>
          </w:tcPr>
          <w:p w14:paraId="4573C7C0" w14:textId="3259F4F3" w:rsidR="00677B6C" w:rsidRPr="00CA69BC" w:rsidRDefault="000B5E4B" w:rsidP="00237C3B">
            <w:pPr>
              <w:jc w:val="center"/>
              <w:rPr>
                <w:rFonts w:cstheme="minorHAnsi"/>
                <w:sz w:val="20"/>
                <w:szCs w:val="20"/>
              </w:rPr>
            </w:pPr>
            <w:r w:rsidRPr="00CA69BC">
              <w:rPr>
                <w:rFonts w:cstheme="minorHAnsi"/>
                <w:sz w:val="20"/>
                <w:szCs w:val="20"/>
              </w:rPr>
              <w:t>33</w:t>
            </w:r>
            <w:r w:rsidR="000747C3">
              <w:rPr>
                <w:rFonts w:cstheme="minorHAnsi"/>
                <w:sz w:val="20"/>
                <w:szCs w:val="20"/>
              </w:rPr>
              <w:t>8.0</w:t>
            </w:r>
          </w:p>
        </w:tc>
        <w:tc>
          <w:tcPr>
            <w:tcW w:w="1124" w:type="dxa"/>
            <w:tcBorders>
              <w:top w:val="single" w:sz="4" w:space="0" w:color="auto"/>
              <w:left w:val="single" w:sz="4" w:space="0" w:color="auto"/>
              <w:bottom w:val="single" w:sz="4" w:space="0" w:color="auto"/>
              <w:right w:val="single" w:sz="4" w:space="0" w:color="auto"/>
            </w:tcBorders>
            <w:vAlign w:val="center"/>
          </w:tcPr>
          <w:p w14:paraId="05C2F2D6" w14:textId="4016DAC8" w:rsidR="00677B6C" w:rsidRPr="00CA69BC" w:rsidRDefault="000B5E4B" w:rsidP="00237C3B">
            <w:pPr>
              <w:jc w:val="center"/>
              <w:rPr>
                <w:sz w:val="20"/>
                <w:szCs w:val="20"/>
              </w:rPr>
            </w:pPr>
            <w:r w:rsidRPr="00CA69BC">
              <w:rPr>
                <w:sz w:val="20"/>
                <w:szCs w:val="20"/>
              </w:rPr>
              <w:t>238.0</w:t>
            </w:r>
          </w:p>
        </w:tc>
        <w:tc>
          <w:tcPr>
            <w:tcW w:w="1124" w:type="dxa"/>
            <w:tcBorders>
              <w:top w:val="single" w:sz="4" w:space="0" w:color="auto"/>
              <w:left w:val="single" w:sz="4" w:space="0" w:color="auto"/>
              <w:bottom w:val="single" w:sz="4" w:space="0" w:color="auto"/>
              <w:right w:val="single" w:sz="4" w:space="0" w:color="auto"/>
            </w:tcBorders>
            <w:vAlign w:val="center"/>
          </w:tcPr>
          <w:p w14:paraId="22EAA64E" w14:textId="47D3EF97" w:rsidR="00677B6C" w:rsidRPr="00CA69BC" w:rsidRDefault="000B5E4B" w:rsidP="00237C3B">
            <w:pPr>
              <w:jc w:val="center"/>
              <w:rPr>
                <w:rFonts w:cstheme="minorHAnsi"/>
                <w:sz w:val="20"/>
                <w:szCs w:val="20"/>
              </w:rPr>
            </w:pPr>
            <w:r w:rsidRPr="00CA69BC">
              <w:rPr>
                <w:rFonts w:cstheme="minorHAnsi"/>
                <w:sz w:val="20"/>
                <w:szCs w:val="20"/>
              </w:rPr>
              <w:t>190.8</w:t>
            </w:r>
          </w:p>
        </w:tc>
        <w:tc>
          <w:tcPr>
            <w:tcW w:w="1124" w:type="dxa"/>
            <w:tcBorders>
              <w:top w:val="single" w:sz="4" w:space="0" w:color="auto"/>
              <w:left w:val="single" w:sz="4" w:space="0" w:color="auto"/>
              <w:bottom w:val="single" w:sz="4" w:space="0" w:color="auto"/>
              <w:right w:val="single" w:sz="4" w:space="0" w:color="auto"/>
            </w:tcBorders>
            <w:vAlign w:val="center"/>
          </w:tcPr>
          <w:p w14:paraId="1EFAB868" w14:textId="289B51E4" w:rsidR="00677B6C" w:rsidRPr="00CA69BC" w:rsidRDefault="002735A9" w:rsidP="00237C3B">
            <w:pPr>
              <w:jc w:val="center"/>
              <w:rPr>
                <w:rFonts w:cstheme="minorHAnsi"/>
                <w:sz w:val="20"/>
                <w:szCs w:val="20"/>
              </w:rPr>
            </w:pPr>
            <w:r w:rsidRPr="00CA69BC">
              <w:rPr>
                <w:rFonts w:cstheme="minorHAnsi"/>
                <w:sz w:val="20"/>
                <w:szCs w:val="20"/>
              </w:rPr>
              <w:t>112.</w:t>
            </w:r>
            <w:r w:rsidR="000747C3">
              <w:rPr>
                <w:rFonts w:cstheme="minorHAnsi"/>
                <w:sz w:val="20"/>
                <w:szCs w:val="20"/>
              </w:rPr>
              <w:t>5</w:t>
            </w:r>
          </w:p>
        </w:tc>
        <w:tc>
          <w:tcPr>
            <w:tcW w:w="1125" w:type="dxa"/>
            <w:tcBorders>
              <w:top w:val="single" w:sz="4" w:space="0" w:color="auto"/>
              <w:left w:val="single" w:sz="4" w:space="0" w:color="auto"/>
              <w:bottom w:val="single" w:sz="4" w:space="0" w:color="auto"/>
              <w:right w:val="single" w:sz="4" w:space="0" w:color="auto"/>
            </w:tcBorders>
            <w:vAlign w:val="center"/>
          </w:tcPr>
          <w:p w14:paraId="13813EDB" w14:textId="69A17017" w:rsidR="00677B6C" w:rsidRPr="00CA69BC" w:rsidRDefault="00E057CB" w:rsidP="00237C3B">
            <w:pPr>
              <w:jc w:val="center"/>
              <w:rPr>
                <w:rFonts w:cstheme="minorHAnsi"/>
                <w:sz w:val="20"/>
                <w:szCs w:val="20"/>
              </w:rPr>
            </w:pPr>
            <w:r w:rsidRPr="00CA69BC">
              <w:rPr>
                <w:rFonts w:cstheme="minorHAnsi"/>
                <w:sz w:val="20"/>
                <w:szCs w:val="20"/>
              </w:rPr>
              <w:t>-390.</w:t>
            </w:r>
            <w:r w:rsidR="000747C3">
              <w:rPr>
                <w:rFonts w:cstheme="minorHAnsi"/>
                <w:sz w:val="20"/>
                <w:szCs w:val="20"/>
              </w:rPr>
              <w:t>6</w:t>
            </w:r>
          </w:p>
        </w:tc>
      </w:tr>
      <w:tr w:rsidR="00677B6C" w:rsidRPr="00CA69BC" w14:paraId="456541B1" w14:textId="77777777" w:rsidTr="00E376B3">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3CA8C682" w14:textId="6D2D7B2F" w:rsidR="00677B6C" w:rsidRPr="00CA69BC" w:rsidRDefault="00677B6C" w:rsidP="00E376B3">
            <w:pPr>
              <w:jc w:val="center"/>
              <w:rPr>
                <w:color w:val="262626" w:themeColor="text1" w:themeTint="D9"/>
                <w:sz w:val="20"/>
                <w:szCs w:val="20"/>
              </w:rPr>
            </w:pPr>
            <w:r w:rsidRPr="00CA69BC">
              <w:rPr>
                <w:color w:val="000000" w:themeColor="text1"/>
                <w:sz w:val="20"/>
                <w:szCs w:val="20"/>
              </w:rPr>
              <w:t>Forest</w:t>
            </w:r>
          </w:p>
        </w:tc>
        <w:tc>
          <w:tcPr>
            <w:tcW w:w="1124" w:type="dxa"/>
            <w:tcBorders>
              <w:top w:val="single" w:sz="4" w:space="0" w:color="auto"/>
              <w:left w:val="single" w:sz="4" w:space="0" w:color="auto"/>
              <w:bottom w:val="single" w:sz="4" w:space="0" w:color="auto"/>
              <w:right w:val="single" w:sz="4" w:space="0" w:color="auto"/>
            </w:tcBorders>
            <w:vAlign w:val="center"/>
          </w:tcPr>
          <w:p w14:paraId="31D431FC" w14:textId="71562182" w:rsidR="00677B6C" w:rsidRPr="00CA69BC" w:rsidRDefault="000B5E4B" w:rsidP="00237C3B">
            <w:pPr>
              <w:jc w:val="center"/>
              <w:rPr>
                <w:rFonts w:cstheme="minorHAnsi"/>
                <w:sz w:val="20"/>
                <w:szCs w:val="20"/>
              </w:rPr>
            </w:pPr>
            <w:r w:rsidRPr="00CA69BC">
              <w:rPr>
                <w:rFonts w:cstheme="minorHAnsi"/>
                <w:sz w:val="20"/>
                <w:szCs w:val="20"/>
              </w:rPr>
              <w:t>12588.2</w:t>
            </w:r>
          </w:p>
        </w:tc>
        <w:tc>
          <w:tcPr>
            <w:tcW w:w="1124" w:type="dxa"/>
            <w:tcBorders>
              <w:top w:val="single" w:sz="4" w:space="0" w:color="auto"/>
              <w:left w:val="single" w:sz="4" w:space="0" w:color="auto"/>
              <w:bottom w:val="single" w:sz="4" w:space="0" w:color="auto"/>
              <w:right w:val="single" w:sz="4" w:space="0" w:color="auto"/>
            </w:tcBorders>
            <w:vAlign w:val="center"/>
          </w:tcPr>
          <w:p w14:paraId="348E5256" w14:textId="10505B6F" w:rsidR="00677B6C" w:rsidRPr="00CA69BC" w:rsidRDefault="000B5E4B" w:rsidP="00237C3B">
            <w:pPr>
              <w:jc w:val="center"/>
              <w:rPr>
                <w:rFonts w:cstheme="minorHAnsi"/>
                <w:sz w:val="20"/>
                <w:szCs w:val="20"/>
              </w:rPr>
            </w:pPr>
            <w:r w:rsidRPr="00CA69BC">
              <w:rPr>
                <w:rFonts w:cstheme="minorHAnsi"/>
                <w:sz w:val="20"/>
                <w:szCs w:val="20"/>
              </w:rPr>
              <w:t>11391</w:t>
            </w:r>
            <w:r w:rsidR="000747C3">
              <w:rPr>
                <w:rFonts w:cstheme="minorHAnsi"/>
                <w:sz w:val="20"/>
                <w:szCs w:val="20"/>
              </w:rPr>
              <w:t>.3</w:t>
            </w:r>
          </w:p>
        </w:tc>
        <w:tc>
          <w:tcPr>
            <w:tcW w:w="1124" w:type="dxa"/>
            <w:tcBorders>
              <w:top w:val="single" w:sz="4" w:space="0" w:color="auto"/>
              <w:left w:val="single" w:sz="4" w:space="0" w:color="auto"/>
              <w:bottom w:val="single" w:sz="4" w:space="0" w:color="auto"/>
              <w:right w:val="single" w:sz="4" w:space="0" w:color="auto"/>
            </w:tcBorders>
            <w:vAlign w:val="center"/>
          </w:tcPr>
          <w:p w14:paraId="52F97326" w14:textId="75D077AE" w:rsidR="00677B6C" w:rsidRPr="00CA69BC" w:rsidRDefault="000B5E4B" w:rsidP="00237C3B">
            <w:pPr>
              <w:jc w:val="center"/>
              <w:rPr>
                <w:sz w:val="20"/>
                <w:szCs w:val="20"/>
              </w:rPr>
            </w:pPr>
            <w:r w:rsidRPr="00CA69BC">
              <w:rPr>
                <w:sz w:val="20"/>
                <w:szCs w:val="20"/>
              </w:rPr>
              <w:t>10135.</w:t>
            </w:r>
            <w:r w:rsidR="000747C3">
              <w:rPr>
                <w:sz w:val="20"/>
                <w:szCs w:val="20"/>
              </w:rPr>
              <w:t>4</w:t>
            </w:r>
          </w:p>
        </w:tc>
        <w:tc>
          <w:tcPr>
            <w:tcW w:w="1124" w:type="dxa"/>
            <w:tcBorders>
              <w:top w:val="single" w:sz="4" w:space="0" w:color="auto"/>
              <w:left w:val="single" w:sz="4" w:space="0" w:color="auto"/>
              <w:bottom w:val="single" w:sz="4" w:space="0" w:color="auto"/>
              <w:right w:val="single" w:sz="4" w:space="0" w:color="auto"/>
            </w:tcBorders>
            <w:vAlign w:val="center"/>
          </w:tcPr>
          <w:p w14:paraId="46C364B4" w14:textId="598C3D8E" w:rsidR="00677B6C" w:rsidRPr="00CA69BC" w:rsidRDefault="000B5E4B" w:rsidP="00237C3B">
            <w:pPr>
              <w:jc w:val="center"/>
              <w:rPr>
                <w:rFonts w:cstheme="minorHAnsi"/>
                <w:sz w:val="20"/>
                <w:szCs w:val="20"/>
              </w:rPr>
            </w:pPr>
            <w:r w:rsidRPr="00CA69BC">
              <w:rPr>
                <w:rFonts w:cstheme="minorHAnsi"/>
                <w:sz w:val="20"/>
                <w:szCs w:val="20"/>
              </w:rPr>
              <w:t>8143.</w:t>
            </w:r>
            <w:r w:rsidR="000747C3">
              <w:rPr>
                <w:rFonts w:cstheme="minorHAnsi"/>
                <w:sz w:val="20"/>
                <w:szCs w:val="20"/>
              </w:rPr>
              <w:t>0</w:t>
            </w:r>
          </w:p>
        </w:tc>
        <w:tc>
          <w:tcPr>
            <w:tcW w:w="1124" w:type="dxa"/>
            <w:tcBorders>
              <w:top w:val="single" w:sz="4" w:space="0" w:color="auto"/>
              <w:left w:val="single" w:sz="4" w:space="0" w:color="auto"/>
              <w:bottom w:val="single" w:sz="4" w:space="0" w:color="auto"/>
              <w:right w:val="single" w:sz="4" w:space="0" w:color="auto"/>
            </w:tcBorders>
            <w:vAlign w:val="center"/>
          </w:tcPr>
          <w:p w14:paraId="50FB1672" w14:textId="7422476D" w:rsidR="00677B6C" w:rsidRPr="00CA69BC" w:rsidRDefault="002735A9" w:rsidP="00237C3B">
            <w:pPr>
              <w:jc w:val="center"/>
              <w:rPr>
                <w:rFonts w:cstheme="minorHAnsi"/>
                <w:sz w:val="20"/>
                <w:szCs w:val="20"/>
              </w:rPr>
            </w:pPr>
            <w:r w:rsidRPr="00CA69BC">
              <w:rPr>
                <w:rFonts w:cstheme="minorHAnsi"/>
                <w:sz w:val="20"/>
                <w:szCs w:val="20"/>
              </w:rPr>
              <w:t>8667.</w:t>
            </w:r>
            <w:r w:rsidR="000747C3">
              <w:rPr>
                <w:rFonts w:cstheme="minorHAnsi"/>
                <w:sz w:val="20"/>
                <w:szCs w:val="20"/>
              </w:rPr>
              <w:t>5</w:t>
            </w:r>
          </w:p>
        </w:tc>
        <w:tc>
          <w:tcPr>
            <w:tcW w:w="1125" w:type="dxa"/>
            <w:tcBorders>
              <w:top w:val="single" w:sz="4" w:space="0" w:color="auto"/>
              <w:left w:val="single" w:sz="4" w:space="0" w:color="auto"/>
              <w:bottom w:val="single" w:sz="4" w:space="0" w:color="auto"/>
              <w:right w:val="single" w:sz="4" w:space="0" w:color="auto"/>
            </w:tcBorders>
            <w:vAlign w:val="center"/>
          </w:tcPr>
          <w:p w14:paraId="4B98F113" w14:textId="621B0E71" w:rsidR="00677B6C" w:rsidRPr="00CA69BC" w:rsidRDefault="000B5E4B" w:rsidP="00237C3B">
            <w:pPr>
              <w:jc w:val="center"/>
              <w:rPr>
                <w:rFonts w:cstheme="minorHAnsi"/>
                <w:sz w:val="20"/>
                <w:szCs w:val="20"/>
              </w:rPr>
            </w:pPr>
            <w:r w:rsidRPr="00CA69BC">
              <w:rPr>
                <w:rFonts w:cstheme="minorHAnsi"/>
                <w:sz w:val="20"/>
                <w:szCs w:val="20"/>
              </w:rPr>
              <w:t>-3920.</w:t>
            </w:r>
            <w:r w:rsidR="000747C3">
              <w:rPr>
                <w:rFonts w:cstheme="minorHAnsi"/>
                <w:sz w:val="20"/>
                <w:szCs w:val="20"/>
              </w:rPr>
              <w:t>8</w:t>
            </w:r>
          </w:p>
        </w:tc>
      </w:tr>
      <w:tr w:rsidR="00677B6C" w:rsidRPr="00CA69BC" w14:paraId="24FD81A9" w14:textId="77777777" w:rsidTr="00E376B3">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5895EA55" w14:textId="77777777" w:rsidR="00677B6C" w:rsidRPr="00CA69BC" w:rsidRDefault="00677B6C" w:rsidP="00E376B3">
            <w:pPr>
              <w:jc w:val="center"/>
              <w:rPr>
                <w:color w:val="262626" w:themeColor="text1" w:themeTint="D9"/>
                <w:sz w:val="20"/>
                <w:szCs w:val="20"/>
              </w:rPr>
            </w:pPr>
            <w:r w:rsidRPr="00CA69BC">
              <w:rPr>
                <w:color w:val="000000" w:themeColor="text1"/>
                <w:sz w:val="20"/>
                <w:szCs w:val="20"/>
              </w:rPr>
              <w:lastRenderedPageBreak/>
              <w:t>Recreation &amp; Public Space</w:t>
            </w:r>
          </w:p>
        </w:tc>
        <w:tc>
          <w:tcPr>
            <w:tcW w:w="1124" w:type="dxa"/>
            <w:tcBorders>
              <w:top w:val="single" w:sz="4" w:space="0" w:color="auto"/>
              <w:left w:val="single" w:sz="4" w:space="0" w:color="auto"/>
              <w:bottom w:val="single" w:sz="4" w:space="0" w:color="auto"/>
              <w:right w:val="single" w:sz="4" w:space="0" w:color="auto"/>
            </w:tcBorders>
            <w:vAlign w:val="center"/>
          </w:tcPr>
          <w:p w14:paraId="0A4BA037" w14:textId="4305E9FB" w:rsidR="00677B6C" w:rsidRPr="00CA69BC" w:rsidRDefault="00E057CB" w:rsidP="00237C3B">
            <w:pPr>
              <w:jc w:val="center"/>
              <w:rPr>
                <w:rFonts w:cstheme="minorHAnsi"/>
                <w:sz w:val="20"/>
                <w:szCs w:val="20"/>
              </w:rPr>
            </w:pPr>
            <w:r w:rsidRPr="00CA69BC">
              <w:rPr>
                <w:rFonts w:cstheme="minorHAnsi"/>
                <w:sz w:val="20"/>
                <w:szCs w:val="20"/>
              </w:rPr>
              <w:t>181.8</w:t>
            </w:r>
          </w:p>
        </w:tc>
        <w:tc>
          <w:tcPr>
            <w:tcW w:w="1124" w:type="dxa"/>
            <w:tcBorders>
              <w:top w:val="single" w:sz="4" w:space="0" w:color="auto"/>
              <w:left w:val="single" w:sz="4" w:space="0" w:color="auto"/>
              <w:bottom w:val="single" w:sz="4" w:space="0" w:color="auto"/>
              <w:right w:val="single" w:sz="4" w:space="0" w:color="auto"/>
            </w:tcBorders>
            <w:vAlign w:val="center"/>
          </w:tcPr>
          <w:p w14:paraId="124E0F96" w14:textId="54EE0F5C" w:rsidR="00677B6C" w:rsidRPr="00CA69BC" w:rsidRDefault="00E057CB" w:rsidP="00237C3B">
            <w:pPr>
              <w:jc w:val="center"/>
              <w:rPr>
                <w:rFonts w:cstheme="minorHAnsi"/>
                <w:sz w:val="20"/>
                <w:szCs w:val="20"/>
              </w:rPr>
            </w:pPr>
            <w:r w:rsidRPr="00CA69BC">
              <w:rPr>
                <w:rFonts w:cstheme="minorHAnsi"/>
                <w:sz w:val="20"/>
                <w:szCs w:val="20"/>
              </w:rPr>
              <w:t>49</w:t>
            </w:r>
            <w:r w:rsidR="000747C3">
              <w:rPr>
                <w:rFonts w:cstheme="minorHAnsi"/>
                <w:sz w:val="20"/>
                <w:szCs w:val="20"/>
              </w:rPr>
              <w:t>6.0</w:t>
            </w:r>
          </w:p>
        </w:tc>
        <w:tc>
          <w:tcPr>
            <w:tcW w:w="1124" w:type="dxa"/>
            <w:tcBorders>
              <w:top w:val="single" w:sz="4" w:space="0" w:color="auto"/>
              <w:left w:val="single" w:sz="4" w:space="0" w:color="auto"/>
              <w:bottom w:val="single" w:sz="4" w:space="0" w:color="auto"/>
              <w:right w:val="single" w:sz="4" w:space="0" w:color="auto"/>
            </w:tcBorders>
            <w:vAlign w:val="center"/>
          </w:tcPr>
          <w:p w14:paraId="57B8AA68" w14:textId="4BD019B5" w:rsidR="00677B6C" w:rsidRPr="00CA69BC" w:rsidRDefault="00E057CB" w:rsidP="00237C3B">
            <w:pPr>
              <w:jc w:val="center"/>
              <w:rPr>
                <w:sz w:val="20"/>
                <w:szCs w:val="20"/>
              </w:rPr>
            </w:pPr>
            <w:r w:rsidRPr="00CA69BC">
              <w:rPr>
                <w:sz w:val="20"/>
                <w:szCs w:val="20"/>
              </w:rPr>
              <w:t>639.</w:t>
            </w:r>
            <w:r w:rsidR="000747C3">
              <w:rPr>
                <w:sz w:val="20"/>
                <w:szCs w:val="20"/>
              </w:rPr>
              <w:t>4</w:t>
            </w:r>
          </w:p>
        </w:tc>
        <w:tc>
          <w:tcPr>
            <w:tcW w:w="1124" w:type="dxa"/>
            <w:tcBorders>
              <w:top w:val="single" w:sz="4" w:space="0" w:color="auto"/>
              <w:left w:val="single" w:sz="4" w:space="0" w:color="auto"/>
              <w:bottom w:val="single" w:sz="4" w:space="0" w:color="auto"/>
              <w:right w:val="single" w:sz="4" w:space="0" w:color="auto"/>
            </w:tcBorders>
            <w:vAlign w:val="center"/>
          </w:tcPr>
          <w:p w14:paraId="626E4B78" w14:textId="09771411" w:rsidR="00677B6C" w:rsidRPr="00CA69BC" w:rsidRDefault="00E057CB" w:rsidP="00237C3B">
            <w:pPr>
              <w:jc w:val="center"/>
              <w:rPr>
                <w:rFonts w:cstheme="minorHAnsi"/>
                <w:sz w:val="20"/>
                <w:szCs w:val="20"/>
              </w:rPr>
            </w:pPr>
            <w:r w:rsidRPr="00CA69BC">
              <w:rPr>
                <w:rFonts w:cstheme="minorHAnsi"/>
                <w:sz w:val="20"/>
                <w:szCs w:val="20"/>
              </w:rPr>
              <w:t>886.</w:t>
            </w:r>
            <w:r w:rsidR="000747C3">
              <w:rPr>
                <w:rFonts w:cstheme="minorHAnsi"/>
                <w:sz w:val="20"/>
                <w:szCs w:val="20"/>
              </w:rPr>
              <w:t>5</w:t>
            </w:r>
          </w:p>
        </w:tc>
        <w:tc>
          <w:tcPr>
            <w:tcW w:w="1124" w:type="dxa"/>
            <w:tcBorders>
              <w:top w:val="single" w:sz="4" w:space="0" w:color="auto"/>
              <w:left w:val="single" w:sz="4" w:space="0" w:color="auto"/>
              <w:bottom w:val="single" w:sz="4" w:space="0" w:color="auto"/>
              <w:right w:val="single" w:sz="4" w:space="0" w:color="auto"/>
            </w:tcBorders>
            <w:vAlign w:val="center"/>
          </w:tcPr>
          <w:p w14:paraId="3C5225D1" w14:textId="38498573" w:rsidR="00677B6C" w:rsidRPr="00CA69BC" w:rsidRDefault="002C4868" w:rsidP="00237C3B">
            <w:pPr>
              <w:jc w:val="center"/>
              <w:rPr>
                <w:rFonts w:cstheme="minorHAnsi"/>
                <w:sz w:val="20"/>
                <w:szCs w:val="20"/>
              </w:rPr>
            </w:pPr>
            <w:r w:rsidRPr="00CA69BC">
              <w:rPr>
                <w:color w:val="000000" w:themeColor="text1"/>
                <w:sz w:val="20"/>
                <w:szCs w:val="20"/>
              </w:rPr>
              <w:t>868.</w:t>
            </w:r>
            <w:r w:rsidR="000747C3">
              <w:rPr>
                <w:color w:val="000000" w:themeColor="text1"/>
                <w:sz w:val="20"/>
                <w:szCs w:val="20"/>
              </w:rPr>
              <w:t>8</w:t>
            </w:r>
          </w:p>
        </w:tc>
        <w:tc>
          <w:tcPr>
            <w:tcW w:w="1125" w:type="dxa"/>
            <w:tcBorders>
              <w:top w:val="single" w:sz="4" w:space="0" w:color="auto"/>
              <w:left w:val="single" w:sz="4" w:space="0" w:color="auto"/>
              <w:bottom w:val="single" w:sz="4" w:space="0" w:color="auto"/>
              <w:right w:val="single" w:sz="4" w:space="0" w:color="auto"/>
            </w:tcBorders>
            <w:vAlign w:val="center"/>
          </w:tcPr>
          <w:p w14:paraId="368199FE" w14:textId="77916C3C" w:rsidR="00677B6C" w:rsidRPr="00CA69BC" w:rsidRDefault="00E057CB" w:rsidP="00237C3B">
            <w:pPr>
              <w:jc w:val="center"/>
              <w:rPr>
                <w:rFonts w:cstheme="minorHAnsi"/>
                <w:sz w:val="20"/>
                <w:szCs w:val="20"/>
              </w:rPr>
            </w:pPr>
            <w:r w:rsidRPr="00CA69BC">
              <w:rPr>
                <w:rFonts w:cstheme="minorHAnsi"/>
                <w:sz w:val="20"/>
                <w:szCs w:val="20"/>
              </w:rPr>
              <w:t>68</w:t>
            </w:r>
            <w:r w:rsidR="000747C3">
              <w:rPr>
                <w:rFonts w:cstheme="minorHAnsi"/>
                <w:sz w:val="20"/>
                <w:szCs w:val="20"/>
              </w:rPr>
              <w:t>7.0</w:t>
            </w:r>
          </w:p>
        </w:tc>
      </w:tr>
      <w:tr w:rsidR="00677B6C" w:rsidRPr="00CA69BC" w14:paraId="0523B2CB" w14:textId="77777777" w:rsidTr="00E376B3">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2C6408D0" w14:textId="04DBB58F" w:rsidR="00677B6C" w:rsidRPr="00CA69BC" w:rsidRDefault="00677B6C" w:rsidP="00E376B3">
            <w:pPr>
              <w:jc w:val="center"/>
              <w:rPr>
                <w:color w:val="262626" w:themeColor="text1" w:themeTint="D9"/>
                <w:sz w:val="20"/>
                <w:szCs w:val="20"/>
              </w:rPr>
            </w:pPr>
            <w:r w:rsidRPr="00CA69BC">
              <w:rPr>
                <w:color w:val="000000" w:themeColor="text1"/>
                <w:sz w:val="20"/>
                <w:szCs w:val="20"/>
              </w:rPr>
              <w:t>Residential</w:t>
            </w:r>
          </w:p>
        </w:tc>
        <w:tc>
          <w:tcPr>
            <w:tcW w:w="1124" w:type="dxa"/>
            <w:tcBorders>
              <w:top w:val="single" w:sz="4" w:space="0" w:color="auto"/>
              <w:left w:val="single" w:sz="4" w:space="0" w:color="auto"/>
              <w:bottom w:val="single" w:sz="4" w:space="0" w:color="auto"/>
              <w:right w:val="single" w:sz="4" w:space="0" w:color="auto"/>
            </w:tcBorders>
            <w:vAlign w:val="center"/>
          </w:tcPr>
          <w:p w14:paraId="14B2D3EE" w14:textId="20F22360" w:rsidR="00677B6C" w:rsidRPr="00CA69BC" w:rsidRDefault="00E35F10" w:rsidP="00237C3B">
            <w:pPr>
              <w:jc w:val="center"/>
              <w:rPr>
                <w:rFonts w:cstheme="minorHAnsi"/>
                <w:sz w:val="20"/>
                <w:szCs w:val="20"/>
              </w:rPr>
            </w:pPr>
            <w:r w:rsidRPr="00CA69BC">
              <w:rPr>
                <w:rFonts w:cstheme="minorHAnsi"/>
                <w:sz w:val="20"/>
                <w:szCs w:val="20"/>
              </w:rPr>
              <w:t>480.</w:t>
            </w:r>
            <w:r w:rsidR="000747C3">
              <w:rPr>
                <w:rFonts w:cstheme="minorHAnsi"/>
                <w:sz w:val="20"/>
                <w:szCs w:val="20"/>
              </w:rPr>
              <w:t>1</w:t>
            </w:r>
          </w:p>
        </w:tc>
        <w:tc>
          <w:tcPr>
            <w:tcW w:w="1124" w:type="dxa"/>
            <w:tcBorders>
              <w:top w:val="single" w:sz="4" w:space="0" w:color="auto"/>
              <w:left w:val="single" w:sz="4" w:space="0" w:color="auto"/>
              <w:bottom w:val="single" w:sz="4" w:space="0" w:color="auto"/>
              <w:right w:val="single" w:sz="4" w:space="0" w:color="auto"/>
            </w:tcBorders>
            <w:vAlign w:val="center"/>
          </w:tcPr>
          <w:p w14:paraId="2B790610" w14:textId="0443CACF" w:rsidR="00677B6C" w:rsidRPr="00CA69BC" w:rsidRDefault="00E35F10" w:rsidP="00237C3B">
            <w:pPr>
              <w:jc w:val="center"/>
              <w:rPr>
                <w:rFonts w:cstheme="minorHAnsi"/>
                <w:sz w:val="20"/>
                <w:szCs w:val="20"/>
              </w:rPr>
            </w:pPr>
            <w:r w:rsidRPr="00CA69BC">
              <w:rPr>
                <w:rFonts w:cstheme="minorHAnsi"/>
                <w:sz w:val="20"/>
                <w:szCs w:val="20"/>
              </w:rPr>
              <w:t>1303.</w:t>
            </w:r>
            <w:r w:rsidR="000747C3">
              <w:rPr>
                <w:rFonts w:cstheme="minorHAnsi"/>
                <w:sz w:val="20"/>
                <w:szCs w:val="20"/>
              </w:rPr>
              <w:t>3</w:t>
            </w:r>
          </w:p>
        </w:tc>
        <w:tc>
          <w:tcPr>
            <w:tcW w:w="1124" w:type="dxa"/>
            <w:tcBorders>
              <w:top w:val="single" w:sz="4" w:space="0" w:color="auto"/>
              <w:left w:val="single" w:sz="4" w:space="0" w:color="auto"/>
              <w:bottom w:val="single" w:sz="4" w:space="0" w:color="auto"/>
              <w:right w:val="single" w:sz="4" w:space="0" w:color="auto"/>
            </w:tcBorders>
            <w:vAlign w:val="center"/>
          </w:tcPr>
          <w:p w14:paraId="5CEA5AEB" w14:textId="37C80BC4" w:rsidR="00677B6C" w:rsidRPr="00CA69BC" w:rsidRDefault="00E35F10" w:rsidP="00237C3B">
            <w:pPr>
              <w:jc w:val="center"/>
              <w:rPr>
                <w:sz w:val="20"/>
                <w:szCs w:val="20"/>
              </w:rPr>
            </w:pPr>
            <w:r w:rsidRPr="00CA69BC">
              <w:rPr>
                <w:sz w:val="20"/>
                <w:szCs w:val="20"/>
              </w:rPr>
              <w:t>2351.</w:t>
            </w:r>
            <w:r w:rsidR="000747C3">
              <w:rPr>
                <w:sz w:val="20"/>
                <w:szCs w:val="20"/>
              </w:rPr>
              <w:t>7</w:t>
            </w:r>
          </w:p>
        </w:tc>
        <w:tc>
          <w:tcPr>
            <w:tcW w:w="1124" w:type="dxa"/>
            <w:tcBorders>
              <w:top w:val="single" w:sz="4" w:space="0" w:color="auto"/>
              <w:left w:val="single" w:sz="4" w:space="0" w:color="auto"/>
              <w:bottom w:val="single" w:sz="4" w:space="0" w:color="auto"/>
              <w:right w:val="single" w:sz="4" w:space="0" w:color="auto"/>
            </w:tcBorders>
            <w:vAlign w:val="center"/>
          </w:tcPr>
          <w:p w14:paraId="25AED1AC" w14:textId="10782A42" w:rsidR="00677B6C" w:rsidRPr="00CA69BC" w:rsidRDefault="00E35F10" w:rsidP="00237C3B">
            <w:pPr>
              <w:jc w:val="center"/>
              <w:rPr>
                <w:rFonts w:cstheme="minorHAnsi"/>
                <w:sz w:val="20"/>
                <w:szCs w:val="20"/>
              </w:rPr>
            </w:pPr>
            <w:r w:rsidRPr="00CA69BC">
              <w:rPr>
                <w:rFonts w:cstheme="minorHAnsi"/>
                <w:sz w:val="20"/>
                <w:szCs w:val="20"/>
              </w:rPr>
              <w:t>3965.3</w:t>
            </w:r>
          </w:p>
        </w:tc>
        <w:tc>
          <w:tcPr>
            <w:tcW w:w="1124" w:type="dxa"/>
            <w:tcBorders>
              <w:top w:val="single" w:sz="4" w:space="0" w:color="auto"/>
              <w:left w:val="single" w:sz="4" w:space="0" w:color="auto"/>
              <w:bottom w:val="single" w:sz="4" w:space="0" w:color="auto"/>
              <w:right w:val="single" w:sz="4" w:space="0" w:color="auto"/>
            </w:tcBorders>
            <w:vAlign w:val="center"/>
          </w:tcPr>
          <w:p w14:paraId="3EAE8754" w14:textId="6CF9E776" w:rsidR="00677B6C" w:rsidRPr="00CA69BC" w:rsidRDefault="002C4868" w:rsidP="00237C3B">
            <w:pPr>
              <w:jc w:val="center"/>
              <w:rPr>
                <w:rFonts w:cstheme="minorHAnsi"/>
                <w:sz w:val="20"/>
                <w:szCs w:val="20"/>
              </w:rPr>
            </w:pPr>
            <w:r w:rsidRPr="00CA69BC">
              <w:rPr>
                <w:color w:val="000000" w:themeColor="text1"/>
                <w:sz w:val="20"/>
                <w:szCs w:val="20"/>
              </w:rPr>
              <w:t>319</w:t>
            </w:r>
            <w:r w:rsidR="000747C3">
              <w:rPr>
                <w:color w:val="000000" w:themeColor="text1"/>
                <w:sz w:val="20"/>
                <w:szCs w:val="20"/>
              </w:rPr>
              <w:t>9.0</w:t>
            </w:r>
          </w:p>
        </w:tc>
        <w:tc>
          <w:tcPr>
            <w:tcW w:w="1125" w:type="dxa"/>
            <w:tcBorders>
              <w:top w:val="single" w:sz="4" w:space="0" w:color="auto"/>
              <w:left w:val="single" w:sz="4" w:space="0" w:color="auto"/>
              <w:bottom w:val="single" w:sz="4" w:space="0" w:color="auto"/>
              <w:right w:val="single" w:sz="4" w:space="0" w:color="auto"/>
            </w:tcBorders>
            <w:vAlign w:val="center"/>
          </w:tcPr>
          <w:p w14:paraId="488A852C" w14:textId="67020173" w:rsidR="00677B6C" w:rsidRPr="00CA69BC" w:rsidRDefault="008E42DA" w:rsidP="00237C3B">
            <w:pPr>
              <w:jc w:val="center"/>
              <w:rPr>
                <w:rFonts w:cstheme="minorHAnsi"/>
                <w:sz w:val="20"/>
                <w:szCs w:val="20"/>
              </w:rPr>
            </w:pPr>
            <w:r w:rsidRPr="00CA69BC">
              <w:rPr>
                <w:rFonts w:cstheme="minorHAnsi"/>
                <w:sz w:val="20"/>
                <w:szCs w:val="20"/>
              </w:rPr>
              <w:t>2718.9</w:t>
            </w:r>
          </w:p>
        </w:tc>
      </w:tr>
      <w:tr w:rsidR="00677B6C" w:rsidRPr="00CA69BC" w14:paraId="409D3A63" w14:textId="77777777" w:rsidTr="00E376B3">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458EC600" w14:textId="77777777" w:rsidR="00677B6C" w:rsidRPr="00CA69BC" w:rsidRDefault="00677B6C" w:rsidP="00E376B3">
            <w:pPr>
              <w:jc w:val="center"/>
              <w:rPr>
                <w:color w:val="262626" w:themeColor="text1" w:themeTint="D9"/>
                <w:sz w:val="20"/>
                <w:szCs w:val="20"/>
              </w:rPr>
            </w:pPr>
            <w:r w:rsidRPr="00CA69BC">
              <w:rPr>
                <w:color w:val="000000" w:themeColor="text1"/>
                <w:sz w:val="20"/>
                <w:szCs w:val="20"/>
              </w:rPr>
              <w:t>Commercial</w:t>
            </w:r>
          </w:p>
        </w:tc>
        <w:tc>
          <w:tcPr>
            <w:tcW w:w="1124" w:type="dxa"/>
            <w:tcBorders>
              <w:top w:val="single" w:sz="4" w:space="0" w:color="auto"/>
              <w:left w:val="single" w:sz="4" w:space="0" w:color="auto"/>
              <w:bottom w:val="single" w:sz="4" w:space="0" w:color="auto"/>
              <w:right w:val="single" w:sz="4" w:space="0" w:color="auto"/>
            </w:tcBorders>
            <w:vAlign w:val="center"/>
          </w:tcPr>
          <w:p w14:paraId="114EC6F1" w14:textId="4A3190A1" w:rsidR="00677B6C" w:rsidRPr="00CA69BC" w:rsidRDefault="008E42DA" w:rsidP="00237C3B">
            <w:pPr>
              <w:jc w:val="center"/>
              <w:rPr>
                <w:rFonts w:cstheme="minorHAnsi"/>
                <w:sz w:val="20"/>
                <w:szCs w:val="20"/>
              </w:rPr>
            </w:pPr>
            <w:r w:rsidRPr="00CA69BC">
              <w:rPr>
                <w:rFonts w:cstheme="minorHAnsi"/>
                <w:sz w:val="20"/>
                <w:szCs w:val="20"/>
              </w:rPr>
              <w:t>15.6</w:t>
            </w:r>
          </w:p>
        </w:tc>
        <w:tc>
          <w:tcPr>
            <w:tcW w:w="1124" w:type="dxa"/>
            <w:tcBorders>
              <w:top w:val="single" w:sz="4" w:space="0" w:color="auto"/>
              <w:left w:val="single" w:sz="4" w:space="0" w:color="auto"/>
              <w:bottom w:val="single" w:sz="4" w:space="0" w:color="auto"/>
              <w:right w:val="single" w:sz="4" w:space="0" w:color="auto"/>
            </w:tcBorders>
            <w:vAlign w:val="center"/>
          </w:tcPr>
          <w:p w14:paraId="1632D655" w14:textId="6A864694" w:rsidR="00677B6C" w:rsidRPr="00CA69BC" w:rsidRDefault="008E42DA" w:rsidP="00237C3B">
            <w:pPr>
              <w:jc w:val="center"/>
              <w:rPr>
                <w:rFonts w:cstheme="minorHAnsi"/>
                <w:sz w:val="20"/>
                <w:szCs w:val="20"/>
              </w:rPr>
            </w:pPr>
            <w:r w:rsidRPr="00CA69BC">
              <w:rPr>
                <w:rFonts w:cstheme="minorHAnsi"/>
                <w:sz w:val="20"/>
                <w:szCs w:val="20"/>
              </w:rPr>
              <w:t>59.8</w:t>
            </w:r>
          </w:p>
        </w:tc>
        <w:tc>
          <w:tcPr>
            <w:tcW w:w="1124" w:type="dxa"/>
            <w:tcBorders>
              <w:top w:val="single" w:sz="4" w:space="0" w:color="auto"/>
              <w:left w:val="single" w:sz="4" w:space="0" w:color="auto"/>
              <w:bottom w:val="single" w:sz="4" w:space="0" w:color="auto"/>
              <w:right w:val="single" w:sz="4" w:space="0" w:color="auto"/>
            </w:tcBorders>
            <w:vAlign w:val="center"/>
          </w:tcPr>
          <w:p w14:paraId="375538FF" w14:textId="3C4E90A8" w:rsidR="00677B6C" w:rsidRPr="00CA69BC" w:rsidRDefault="008E42DA" w:rsidP="00237C3B">
            <w:pPr>
              <w:jc w:val="center"/>
              <w:rPr>
                <w:sz w:val="20"/>
                <w:szCs w:val="20"/>
              </w:rPr>
            </w:pPr>
            <w:r w:rsidRPr="00CA69BC">
              <w:rPr>
                <w:sz w:val="20"/>
                <w:szCs w:val="20"/>
              </w:rPr>
              <w:t>128.2</w:t>
            </w:r>
          </w:p>
        </w:tc>
        <w:tc>
          <w:tcPr>
            <w:tcW w:w="1124" w:type="dxa"/>
            <w:tcBorders>
              <w:top w:val="single" w:sz="4" w:space="0" w:color="auto"/>
              <w:left w:val="single" w:sz="4" w:space="0" w:color="auto"/>
              <w:bottom w:val="single" w:sz="4" w:space="0" w:color="auto"/>
              <w:right w:val="single" w:sz="4" w:space="0" w:color="auto"/>
            </w:tcBorders>
            <w:vAlign w:val="center"/>
          </w:tcPr>
          <w:p w14:paraId="5B78585D" w14:textId="2D103E4C" w:rsidR="00677B6C" w:rsidRPr="00CA69BC" w:rsidRDefault="008E42DA" w:rsidP="00237C3B">
            <w:pPr>
              <w:jc w:val="center"/>
              <w:rPr>
                <w:rFonts w:cstheme="minorHAnsi"/>
                <w:sz w:val="20"/>
                <w:szCs w:val="20"/>
              </w:rPr>
            </w:pPr>
            <w:r w:rsidRPr="00CA69BC">
              <w:rPr>
                <w:rFonts w:cstheme="minorHAnsi"/>
                <w:sz w:val="20"/>
                <w:szCs w:val="20"/>
              </w:rPr>
              <w:t>208.1</w:t>
            </w:r>
          </w:p>
        </w:tc>
        <w:tc>
          <w:tcPr>
            <w:tcW w:w="1124" w:type="dxa"/>
            <w:tcBorders>
              <w:top w:val="single" w:sz="4" w:space="0" w:color="auto"/>
              <w:left w:val="single" w:sz="4" w:space="0" w:color="auto"/>
              <w:bottom w:val="single" w:sz="4" w:space="0" w:color="auto"/>
              <w:right w:val="single" w:sz="4" w:space="0" w:color="auto"/>
            </w:tcBorders>
            <w:vAlign w:val="center"/>
          </w:tcPr>
          <w:p w14:paraId="32E2DDCC" w14:textId="6332A51A" w:rsidR="00677B6C" w:rsidRPr="00CA69BC" w:rsidRDefault="002735A9" w:rsidP="00237C3B">
            <w:pPr>
              <w:jc w:val="center"/>
              <w:rPr>
                <w:rFonts w:cstheme="minorHAnsi"/>
                <w:sz w:val="20"/>
                <w:szCs w:val="20"/>
              </w:rPr>
            </w:pPr>
            <w:r w:rsidRPr="00CA69BC">
              <w:rPr>
                <w:color w:val="000000" w:themeColor="text1"/>
                <w:sz w:val="20"/>
                <w:szCs w:val="20"/>
              </w:rPr>
              <w:t>153.2</w:t>
            </w:r>
          </w:p>
        </w:tc>
        <w:tc>
          <w:tcPr>
            <w:tcW w:w="1125" w:type="dxa"/>
            <w:tcBorders>
              <w:top w:val="single" w:sz="4" w:space="0" w:color="auto"/>
              <w:left w:val="single" w:sz="4" w:space="0" w:color="auto"/>
              <w:bottom w:val="single" w:sz="4" w:space="0" w:color="auto"/>
              <w:right w:val="single" w:sz="4" w:space="0" w:color="auto"/>
            </w:tcBorders>
            <w:vAlign w:val="center"/>
          </w:tcPr>
          <w:p w14:paraId="4463B82C" w14:textId="27121831" w:rsidR="00677B6C" w:rsidRPr="00CA69BC" w:rsidRDefault="008E42DA" w:rsidP="00237C3B">
            <w:pPr>
              <w:jc w:val="center"/>
              <w:rPr>
                <w:rFonts w:cstheme="minorHAnsi"/>
                <w:sz w:val="20"/>
                <w:szCs w:val="20"/>
              </w:rPr>
            </w:pPr>
            <w:r w:rsidRPr="00CA69BC">
              <w:rPr>
                <w:rFonts w:cstheme="minorHAnsi"/>
                <w:sz w:val="20"/>
                <w:szCs w:val="20"/>
              </w:rPr>
              <w:t>137.6</w:t>
            </w:r>
          </w:p>
        </w:tc>
      </w:tr>
      <w:tr w:rsidR="00677B6C" w:rsidRPr="00CA69BC" w14:paraId="2C4092AE" w14:textId="77777777" w:rsidTr="00E376B3">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6AD5CFF7" w14:textId="7BD0EF9C" w:rsidR="00677B6C" w:rsidRPr="00CA69BC" w:rsidRDefault="00677B6C" w:rsidP="00E376B3">
            <w:pPr>
              <w:jc w:val="center"/>
              <w:rPr>
                <w:color w:val="262626" w:themeColor="text1" w:themeTint="D9"/>
                <w:sz w:val="20"/>
                <w:szCs w:val="20"/>
              </w:rPr>
            </w:pPr>
            <w:r w:rsidRPr="00CA69BC">
              <w:rPr>
                <w:color w:val="000000" w:themeColor="text1"/>
                <w:sz w:val="20"/>
                <w:szCs w:val="20"/>
              </w:rPr>
              <w:t>Water</w:t>
            </w:r>
          </w:p>
        </w:tc>
        <w:tc>
          <w:tcPr>
            <w:tcW w:w="1124" w:type="dxa"/>
            <w:tcBorders>
              <w:top w:val="single" w:sz="4" w:space="0" w:color="auto"/>
              <w:left w:val="single" w:sz="4" w:space="0" w:color="auto"/>
              <w:bottom w:val="single" w:sz="4" w:space="0" w:color="auto"/>
              <w:right w:val="single" w:sz="4" w:space="0" w:color="auto"/>
            </w:tcBorders>
            <w:vAlign w:val="center"/>
          </w:tcPr>
          <w:p w14:paraId="27981511" w14:textId="28F4B8D4" w:rsidR="00677B6C" w:rsidRPr="00CA69BC" w:rsidRDefault="008E42DA" w:rsidP="00237C3B">
            <w:pPr>
              <w:jc w:val="center"/>
              <w:rPr>
                <w:rFonts w:cstheme="minorHAnsi"/>
                <w:sz w:val="20"/>
                <w:szCs w:val="20"/>
              </w:rPr>
            </w:pPr>
            <w:r w:rsidRPr="00CA69BC">
              <w:rPr>
                <w:rFonts w:cstheme="minorHAnsi"/>
                <w:sz w:val="20"/>
                <w:szCs w:val="20"/>
              </w:rPr>
              <w:t>1455.</w:t>
            </w:r>
            <w:r w:rsidR="000747C3">
              <w:rPr>
                <w:rFonts w:cstheme="minorHAnsi"/>
                <w:sz w:val="20"/>
                <w:szCs w:val="20"/>
              </w:rPr>
              <w:t>2</w:t>
            </w:r>
          </w:p>
        </w:tc>
        <w:tc>
          <w:tcPr>
            <w:tcW w:w="1124" w:type="dxa"/>
            <w:tcBorders>
              <w:top w:val="single" w:sz="4" w:space="0" w:color="auto"/>
              <w:left w:val="single" w:sz="4" w:space="0" w:color="auto"/>
              <w:bottom w:val="single" w:sz="4" w:space="0" w:color="auto"/>
              <w:right w:val="single" w:sz="4" w:space="0" w:color="auto"/>
            </w:tcBorders>
            <w:vAlign w:val="center"/>
          </w:tcPr>
          <w:p w14:paraId="106CFB08" w14:textId="4F636373" w:rsidR="00677B6C" w:rsidRPr="00CA69BC" w:rsidRDefault="008E42DA" w:rsidP="00237C3B">
            <w:pPr>
              <w:pStyle w:val="CommentText"/>
              <w:jc w:val="center"/>
              <w:rPr>
                <w:rFonts w:cstheme="minorHAnsi"/>
              </w:rPr>
            </w:pPr>
            <w:r w:rsidRPr="00CA69BC">
              <w:rPr>
                <w:rFonts w:cstheme="minorHAnsi"/>
              </w:rPr>
              <w:t>1462.</w:t>
            </w:r>
            <w:r w:rsidR="000747C3">
              <w:rPr>
                <w:rFonts w:cstheme="minorHAnsi"/>
              </w:rPr>
              <w:t>5</w:t>
            </w:r>
          </w:p>
        </w:tc>
        <w:tc>
          <w:tcPr>
            <w:tcW w:w="1124" w:type="dxa"/>
            <w:tcBorders>
              <w:top w:val="single" w:sz="4" w:space="0" w:color="auto"/>
              <w:left w:val="single" w:sz="4" w:space="0" w:color="auto"/>
              <w:bottom w:val="single" w:sz="4" w:space="0" w:color="auto"/>
              <w:right w:val="single" w:sz="4" w:space="0" w:color="auto"/>
            </w:tcBorders>
            <w:vAlign w:val="center"/>
          </w:tcPr>
          <w:p w14:paraId="3FE70AD1" w14:textId="32EB02BA" w:rsidR="00677B6C" w:rsidRPr="00CA69BC" w:rsidRDefault="008E42DA" w:rsidP="00237C3B">
            <w:pPr>
              <w:jc w:val="center"/>
              <w:rPr>
                <w:sz w:val="20"/>
                <w:szCs w:val="20"/>
              </w:rPr>
            </w:pPr>
            <w:r w:rsidRPr="00CA69BC">
              <w:rPr>
                <w:sz w:val="20"/>
                <w:szCs w:val="20"/>
              </w:rPr>
              <w:t>1462.</w:t>
            </w:r>
            <w:r w:rsidR="000747C3">
              <w:rPr>
                <w:sz w:val="20"/>
                <w:szCs w:val="20"/>
              </w:rPr>
              <w:t>5</w:t>
            </w:r>
          </w:p>
        </w:tc>
        <w:tc>
          <w:tcPr>
            <w:tcW w:w="1124" w:type="dxa"/>
            <w:tcBorders>
              <w:top w:val="single" w:sz="4" w:space="0" w:color="auto"/>
              <w:left w:val="single" w:sz="4" w:space="0" w:color="auto"/>
              <w:bottom w:val="single" w:sz="4" w:space="0" w:color="auto"/>
              <w:right w:val="single" w:sz="4" w:space="0" w:color="auto"/>
            </w:tcBorders>
            <w:vAlign w:val="center"/>
          </w:tcPr>
          <w:p w14:paraId="1D96D483" w14:textId="7CD46C23" w:rsidR="00677B6C" w:rsidRPr="00CA69BC" w:rsidRDefault="008E42DA" w:rsidP="00237C3B">
            <w:pPr>
              <w:jc w:val="center"/>
              <w:rPr>
                <w:rFonts w:cstheme="minorHAnsi"/>
                <w:sz w:val="20"/>
                <w:szCs w:val="20"/>
              </w:rPr>
            </w:pPr>
            <w:r w:rsidRPr="00CA69BC">
              <w:rPr>
                <w:rFonts w:cstheme="minorHAnsi"/>
                <w:sz w:val="20"/>
                <w:szCs w:val="20"/>
              </w:rPr>
              <w:t>1447.1</w:t>
            </w:r>
          </w:p>
        </w:tc>
        <w:tc>
          <w:tcPr>
            <w:tcW w:w="1124" w:type="dxa"/>
            <w:tcBorders>
              <w:top w:val="single" w:sz="4" w:space="0" w:color="auto"/>
              <w:left w:val="single" w:sz="4" w:space="0" w:color="auto"/>
              <w:bottom w:val="single" w:sz="4" w:space="0" w:color="auto"/>
              <w:right w:val="single" w:sz="4" w:space="0" w:color="auto"/>
            </w:tcBorders>
            <w:vAlign w:val="center"/>
          </w:tcPr>
          <w:p w14:paraId="3E635E3C" w14:textId="7C45815C" w:rsidR="00677B6C" w:rsidRPr="00CA69BC" w:rsidRDefault="007760D8" w:rsidP="00237C3B">
            <w:pPr>
              <w:jc w:val="center"/>
              <w:rPr>
                <w:rFonts w:cstheme="minorHAnsi"/>
                <w:sz w:val="20"/>
                <w:szCs w:val="20"/>
              </w:rPr>
            </w:pPr>
            <w:r w:rsidRPr="00CA69BC">
              <w:rPr>
                <w:color w:val="000000" w:themeColor="text1"/>
                <w:sz w:val="20"/>
                <w:szCs w:val="20"/>
              </w:rPr>
              <w:t>1526.</w:t>
            </w:r>
            <w:r w:rsidR="000747C3">
              <w:rPr>
                <w:color w:val="000000" w:themeColor="text1"/>
                <w:sz w:val="20"/>
                <w:szCs w:val="20"/>
              </w:rPr>
              <w:t>7</w:t>
            </w:r>
          </w:p>
        </w:tc>
        <w:tc>
          <w:tcPr>
            <w:tcW w:w="1125" w:type="dxa"/>
            <w:tcBorders>
              <w:top w:val="single" w:sz="4" w:space="0" w:color="auto"/>
              <w:left w:val="single" w:sz="4" w:space="0" w:color="auto"/>
              <w:bottom w:val="single" w:sz="4" w:space="0" w:color="auto"/>
              <w:right w:val="single" w:sz="4" w:space="0" w:color="auto"/>
            </w:tcBorders>
            <w:vAlign w:val="center"/>
          </w:tcPr>
          <w:p w14:paraId="052309EE" w14:textId="11809000" w:rsidR="00677B6C" w:rsidRPr="00CA69BC" w:rsidRDefault="008E42DA" w:rsidP="00237C3B">
            <w:pPr>
              <w:jc w:val="center"/>
              <w:rPr>
                <w:rFonts w:cstheme="minorHAnsi"/>
                <w:sz w:val="20"/>
                <w:szCs w:val="20"/>
              </w:rPr>
            </w:pPr>
            <w:r w:rsidRPr="00CA69BC">
              <w:rPr>
                <w:rFonts w:cstheme="minorHAnsi"/>
                <w:sz w:val="20"/>
                <w:szCs w:val="20"/>
              </w:rPr>
              <w:t>71.5</w:t>
            </w:r>
          </w:p>
        </w:tc>
      </w:tr>
      <w:tr w:rsidR="00677B6C" w:rsidRPr="00CA69BC" w14:paraId="4FBBFD87" w14:textId="77777777" w:rsidTr="00E376B3">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4447DEEC" w14:textId="77777777" w:rsidR="00677B6C" w:rsidRPr="00CA69BC" w:rsidRDefault="00677B6C" w:rsidP="00E376B3">
            <w:pPr>
              <w:jc w:val="center"/>
              <w:rPr>
                <w:color w:val="262626" w:themeColor="text1" w:themeTint="D9"/>
                <w:sz w:val="20"/>
                <w:szCs w:val="20"/>
              </w:rPr>
            </w:pPr>
            <w:r w:rsidRPr="00CA69BC">
              <w:rPr>
                <w:color w:val="000000" w:themeColor="text1"/>
                <w:sz w:val="20"/>
                <w:szCs w:val="20"/>
              </w:rPr>
              <w:t>Wetlands</w:t>
            </w:r>
          </w:p>
        </w:tc>
        <w:tc>
          <w:tcPr>
            <w:tcW w:w="1124" w:type="dxa"/>
            <w:tcBorders>
              <w:top w:val="single" w:sz="4" w:space="0" w:color="auto"/>
              <w:left w:val="single" w:sz="4" w:space="0" w:color="auto"/>
              <w:bottom w:val="single" w:sz="4" w:space="0" w:color="auto"/>
              <w:right w:val="single" w:sz="4" w:space="0" w:color="auto"/>
            </w:tcBorders>
            <w:vAlign w:val="center"/>
          </w:tcPr>
          <w:p w14:paraId="143FE90A" w14:textId="0C2100EF" w:rsidR="00677B6C" w:rsidRPr="00CA69BC" w:rsidRDefault="008E42DA" w:rsidP="00237C3B">
            <w:pPr>
              <w:jc w:val="center"/>
              <w:rPr>
                <w:rFonts w:cstheme="minorHAnsi"/>
                <w:sz w:val="20"/>
                <w:szCs w:val="20"/>
              </w:rPr>
            </w:pPr>
            <w:r w:rsidRPr="00CA69BC">
              <w:rPr>
                <w:rFonts w:cstheme="minorHAnsi"/>
                <w:sz w:val="20"/>
                <w:szCs w:val="20"/>
              </w:rPr>
              <w:t>470.7</w:t>
            </w:r>
          </w:p>
        </w:tc>
        <w:tc>
          <w:tcPr>
            <w:tcW w:w="1124" w:type="dxa"/>
            <w:tcBorders>
              <w:top w:val="single" w:sz="4" w:space="0" w:color="auto"/>
              <w:left w:val="single" w:sz="4" w:space="0" w:color="auto"/>
              <w:bottom w:val="single" w:sz="4" w:space="0" w:color="auto"/>
              <w:right w:val="single" w:sz="4" w:space="0" w:color="auto"/>
            </w:tcBorders>
            <w:vAlign w:val="center"/>
          </w:tcPr>
          <w:p w14:paraId="72DBEE49" w14:textId="692D7563" w:rsidR="00677B6C" w:rsidRPr="00CA69BC" w:rsidRDefault="008E42DA" w:rsidP="00237C3B">
            <w:pPr>
              <w:tabs>
                <w:tab w:val="left" w:pos="656"/>
              </w:tabs>
              <w:jc w:val="center"/>
              <w:rPr>
                <w:rFonts w:cstheme="minorHAnsi"/>
                <w:sz w:val="20"/>
                <w:szCs w:val="20"/>
              </w:rPr>
            </w:pPr>
            <w:r w:rsidRPr="00CA69BC">
              <w:rPr>
                <w:rFonts w:cstheme="minorHAnsi"/>
                <w:sz w:val="20"/>
                <w:szCs w:val="20"/>
              </w:rPr>
              <w:t>503.1</w:t>
            </w:r>
          </w:p>
        </w:tc>
        <w:tc>
          <w:tcPr>
            <w:tcW w:w="1124" w:type="dxa"/>
            <w:tcBorders>
              <w:top w:val="single" w:sz="4" w:space="0" w:color="auto"/>
              <w:left w:val="single" w:sz="4" w:space="0" w:color="auto"/>
              <w:bottom w:val="single" w:sz="4" w:space="0" w:color="auto"/>
              <w:right w:val="single" w:sz="4" w:space="0" w:color="auto"/>
            </w:tcBorders>
            <w:vAlign w:val="center"/>
          </w:tcPr>
          <w:p w14:paraId="7A51558F" w14:textId="0FFD4962" w:rsidR="00677B6C" w:rsidRPr="00CA69BC" w:rsidRDefault="008E42DA" w:rsidP="00237C3B">
            <w:pPr>
              <w:jc w:val="center"/>
              <w:rPr>
                <w:sz w:val="20"/>
                <w:szCs w:val="20"/>
              </w:rPr>
            </w:pPr>
            <w:r w:rsidRPr="00CA69BC">
              <w:rPr>
                <w:sz w:val="20"/>
                <w:szCs w:val="20"/>
              </w:rPr>
              <w:t>566.</w:t>
            </w:r>
            <w:r w:rsidR="000747C3">
              <w:rPr>
                <w:sz w:val="20"/>
                <w:szCs w:val="20"/>
              </w:rPr>
              <w:t>3</w:t>
            </w:r>
          </w:p>
        </w:tc>
        <w:tc>
          <w:tcPr>
            <w:tcW w:w="1124" w:type="dxa"/>
            <w:tcBorders>
              <w:top w:val="single" w:sz="4" w:space="0" w:color="auto"/>
              <w:left w:val="single" w:sz="4" w:space="0" w:color="auto"/>
              <w:bottom w:val="single" w:sz="4" w:space="0" w:color="auto"/>
              <w:right w:val="single" w:sz="4" w:space="0" w:color="auto"/>
            </w:tcBorders>
            <w:vAlign w:val="center"/>
          </w:tcPr>
          <w:p w14:paraId="1D4C56A6" w14:textId="02F4F618" w:rsidR="00677B6C" w:rsidRPr="00CA69BC" w:rsidRDefault="008E42DA" w:rsidP="00237C3B">
            <w:pPr>
              <w:jc w:val="center"/>
              <w:rPr>
                <w:rFonts w:cstheme="minorHAnsi"/>
                <w:sz w:val="20"/>
                <w:szCs w:val="20"/>
              </w:rPr>
            </w:pPr>
            <w:r w:rsidRPr="00CA69BC">
              <w:rPr>
                <w:rFonts w:cstheme="minorHAnsi"/>
                <w:sz w:val="20"/>
                <w:szCs w:val="20"/>
              </w:rPr>
              <w:t>574.</w:t>
            </w:r>
            <w:r w:rsidR="000747C3">
              <w:rPr>
                <w:rFonts w:cstheme="minorHAnsi"/>
                <w:sz w:val="20"/>
                <w:szCs w:val="20"/>
              </w:rPr>
              <w:t>5</w:t>
            </w:r>
          </w:p>
        </w:tc>
        <w:tc>
          <w:tcPr>
            <w:tcW w:w="1124" w:type="dxa"/>
            <w:tcBorders>
              <w:top w:val="single" w:sz="4" w:space="0" w:color="auto"/>
              <w:left w:val="single" w:sz="4" w:space="0" w:color="auto"/>
              <w:bottom w:val="single" w:sz="4" w:space="0" w:color="auto"/>
              <w:right w:val="single" w:sz="4" w:space="0" w:color="auto"/>
            </w:tcBorders>
            <w:vAlign w:val="center"/>
          </w:tcPr>
          <w:p w14:paraId="14A4CFFC" w14:textId="0A91A0C2" w:rsidR="00677B6C" w:rsidRPr="00CA69BC" w:rsidRDefault="007760D8" w:rsidP="00237C3B">
            <w:pPr>
              <w:jc w:val="center"/>
              <w:rPr>
                <w:rFonts w:cstheme="minorHAnsi"/>
                <w:sz w:val="20"/>
                <w:szCs w:val="20"/>
              </w:rPr>
            </w:pPr>
            <w:r w:rsidRPr="00CA69BC">
              <w:rPr>
                <w:rFonts w:cstheme="minorHAnsi"/>
                <w:sz w:val="20"/>
                <w:szCs w:val="20"/>
              </w:rPr>
              <w:t>874.</w:t>
            </w:r>
            <w:r w:rsidR="000747C3">
              <w:rPr>
                <w:rFonts w:cstheme="minorHAnsi"/>
                <w:sz w:val="20"/>
                <w:szCs w:val="20"/>
              </w:rPr>
              <w:t>6</w:t>
            </w:r>
          </w:p>
        </w:tc>
        <w:tc>
          <w:tcPr>
            <w:tcW w:w="1125" w:type="dxa"/>
            <w:tcBorders>
              <w:top w:val="single" w:sz="4" w:space="0" w:color="auto"/>
              <w:left w:val="single" w:sz="4" w:space="0" w:color="auto"/>
              <w:bottom w:val="single" w:sz="4" w:space="0" w:color="auto"/>
              <w:right w:val="single" w:sz="4" w:space="0" w:color="auto"/>
            </w:tcBorders>
            <w:vAlign w:val="center"/>
          </w:tcPr>
          <w:p w14:paraId="11CBBA6F" w14:textId="0FD0E223" w:rsidR="00677B6C" w:rsidRPr="00CA69BC" w:rsidRDefault="00BB41FB" w:rsidP="00237C3B">
            <w:pPr>
              <w:jc w:val="center"/>
              <w:rPr>
                <w:rFonts w:cstheme="minorHAnsi"/>
                <w:sz w:val="20"/>
                <w:szCs w:val="20"/>
              </w:rPr>
            </w:pPr>
            <w:r w:rsidRPr="00CA69BC">
              <w:rPr>
                <w:rFonts w:cstheme="minorHAnsi"/>
                <w:sz w:val="20"/>
                <w:szCs w:val="20"/>
              </w:rPr>
              <w:t>403.</w:t>
            </w:r>
            <w:r w:rsidR="000747C3">
              <w:rPr>
                <w:rFonts w:cstheme="minorHAnsi"/>
                <w:sz w:val="20"/>
                <w:szCs w:val="20"/>
              </w:rPr>
              <w:t>9</w:t>
            </w:r>
          </w:p>
        </w:tc>
      </w:tr>
      <w:tr w:rsidR="00677B6C" w:rsidRPr="00CA69BC" w14:paraId="57FA8284" w14:textId="77777777" w:rsidTr="00E376B3">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79FA0FA3" w14:textId="77777777" w:rsidR="00677B6C" w:rsidRPr="00CA69BC" w:rsidRDefault="00677B6C" w:rsidP="00E376B3">
            <w:pPr>
              <w:jc w:val="center"/>
              <w:rPr>
                <w:color w:val="000000" w:themeColor="text1"/>
                <w:sz w:val="20"/>
                <w:szCs w:val="20"/>
              </w:rPr>
            </w:pPr>
            <w:r w:rsidRPr="00CA69BC">
              <w:rPr>
                <w:color w:val="000000" w:themeColor="text1"/>
                <w:sz w:val="20"/>
                <w:szCs w:val="20"/>
              </w:rPr>
              <w:t>Other</w:t>
            </w:r>
          </w:p>
        </w:tc>
        <w:tc>
          <w:tcPr>
            <w:tcW w:w="1124" w:type="dxa"/>
            <w:tcBorders>
              <w:top w:val="single" w:sz="4" w:space="0" w:color="auto"/>
              <w:left w:val="single" w:sz="4" w:space="0" w:color="auto"/>
              <w:bottom w:val="single" w:sz="4" w:space="0" w:color="auto"/>
              <w:right w:val="single" w:sz="4" w:space="0" w:color="auto"/>
            </w:tcBorders>
            <w:vAlign w:val="center"/>
          </w:tcPr>
          <w:p w14:paraId="0936DA20" w14:textId="5B8010E6" w:rsidR="00677B6C" w:rsidRPr="00CA69BC" w:rsidRDefault="00BB41FB" w:rsidP="00237C3B">
            <w:pPr>
              <w:jc w:val="center"/>
              <w:rPr>
                <w:color w:val="262626" w:themeColor="text1" w:themeTint="D9"/>
                <w:sz w:val="20"/>
                <w:szCs w:val="20"/>
              </w:rPr>
            </w:pPr>
            <w:r w:rsidRPr="00CA69BC">
              <w:rPr>
                <w:color w:val="262626" w:themeColor="text1" w:themeTint="D9"/>
                <w:sz w:val="20"/>
                <w:szCs w:val="20"/>
              </w:rPr>
              <w:t>621.</w:t>
            </w:r>
            <w:r w:rsidR="000747C3">
              <w:rPr>
                <w:color w:val="262626" w:themeColor="text1" w:themeTint="D9"/>
                <w:sz w:val="20"/>
                <w:szCs w:val="20"/>
              </w:rPr>
              <w:t>3</w:t>
            </w:r>
          </w:p>
        </w:tc>
        <w:tc>
          <w:tcPr>
            <w:tcW w:w="1124" w:type="dxa"/>
            <w:tcBorders>
              <w:top w:val="single" w:sz="4" w:space="0" w:color="auto"/>
              <w:left w:val="single" w:sz="4" w:space="0" w:color="auto"/>
              <w:bottom w:val="single" w:sz="4" w:space="0" w:color="auto"/>
              <w:right w:val="single" w:sz="4" w:space="0" w:color="auto"/>
            </w:tcBorders>
            <w:vAlign w:val="center"/>
          </w:tcPr>
          <w:p w14:paraId="185AC57C" w14:textId="5B154159" w:rsidR="00677B6C" w:rsidRPr="00CA69BC" w:rsidRDefault="00BB41FB" w:rsidP="00237C3B">
            <w:pPr>
              <w:jc w:val="center"/>
              <w:rPr>
                <w:color w:val="262626" w:themeColor="text1" w:themeTint="D9"/>
                <w:sz w:val="20"/>
                <w:szCs w:val="20"/>
              </w:rPr>
            </w:pPr>
            <w:r w:rsidRPr="00CA69BC">
              <w:rPr>
                <w:color w:val="262626" w:themeColor="text1" w:themeTint="D9"/>
                <w:sz w:val="20"/>
                <w:szCs w:val="20"/>
              </w:rPr>
              <w:t>762.0</w:t>
            </w:r>
          </w:p>
        </w:tc>
        <w:tc>
          <w:tcPr>
            <w:tcW w:w="1124" w:type="dxa"/>
            <w:tcBorders>
              <w:top w:val="single" w:sz="4" w:space="0" w:color="auto"/>
              <w:left w:val="single" w:sz="4" w:space="0" w:color="auto"/>
              <w:bottom w:val="single" w:sz="4" w:space="0" w:color="auto"/>
              <w:right w:val="single" w:sz="4" w:space="0" w:color="auto"/>
            </w:tcBorders>
            <w:vAlign w:val="center"/>
          </w:tcPr>
          <w:p w14:paraId="6D56E0F0" w14:textId="5978EA2B" w:rsidR="00677B6C" w:rsidRPr="00CA69BC" w:rsidRDefault="00BB41FB" w:rsidP="00237C3B">
            <w:pPr>
              <w:jc w:val="center"/>
              <w:rPr>
                <w:color w:val="000000" w:themeColor="text1"/>
                <w:sz w:val="20"/>
                <w:szCs w:val="20"/>
              </w:rPr>
            </w:pPr>
            <w:r w:rsidRPr="00CA69BC">
              <w:rPr>
                <w:color w:val="000000" w:themeColor="text1"/>
                <w:sz w:val="20"/>
                <w:szCs w:val="20"/>
              </w:rPr>
              <w:t>794.6</w:t>
            </w:r>
          </w:p>
        </w:tc>
        <w:tc>
          <w:tcPr>
            <w:tcW w:w="1124" w:type="dxa"/>
            <w:tcBorders>
              <w:top w:val="single" w:sz="4" w:space="0" w:color="auto"/>
              <w:left w:val="single" w:sz="4" w:space="0" w:color="auto"/>
              <w:bottom w:val="single" w:sz="4" w:space="0" w:color="auto"/>
              <w:right w:val="single" w:sz="4" w:space="0" w:color="auto"/>
            </w:tcBorders>
            <w:vAlign w:val="center"/>
          </w:tcPr>
          <w:p w14:paraId="39004E8D" w14:textId="0EBC509C" w:rsidR="00677B6C" w:rsidRPr="00CA69BC" w:rsidRDefault="00BB41FB" w:rsidP="00237C3B">
            <w:pPr>
              <w:jc w:val="center"/>
              <w:rPr>
                <w:color w:val="262626" w:themeColor="text1" w:themeTint="D9"/>
                <w:sz w:val="20"/>
                <w:szCs w:val="20"/>
              </w:rPr>
            </w:pPr>
            <w:r w:rsidRPr="00CA69BC">
              <w:rPr>
                <w:color w:val="262626" w:themeColor="text1" w:themeTint="D9"/>
                <w:sz w:val="20"/>
                <w:szCs w:val="20"/>
              </w:rPr>
              <w:t>895.</w:t>
            </w:r>
            <w:r w:rsidR="000747C3">
              <w:rPr>
                <w:color w:val="262626" w:themeColor="text1" w:themeTint="D9"/>
                <w:sz w:val="20"/>
                <w:szCs w:val="20"/>
              </w:rPr>
              <w:t>4</w:t>
            </w:r>
          </w:p>
        </w:tc>
        <w:tc>
          <w:tcPr>
            <w:tcW w:w="1124" w:type="dxa"/>
            <w:tcBorders>
              <w:top w:val="single" w:sz="4" w:space="0" w:color="auto"/>
              <w:left w:val="single" w:sz="4" w:space="0" w:color="auto"/>
              <w:bottom w:val="single" w:sz="4" w:space="0" w:color="auto"/>
              <w:right w:val="single" w:sz="4" w:space="0" w:color="auto"/>
            </w:tcBorders>
            <w:vAlign w:val="center"/>
          </w:tcPr>
          <w:p w14:paraId="5BD23855" w14:textId="696D341B" w:rsidR="00677B6C" w:rsidRPr="00CA69BC" w:rsidRDefault="00C15182" w:rsidP="00237C3B">
            <w:pPr>
              <w:jc w:val="center"/>
              <w:rPr>
                <w:color w:val="262626" w:themeColor="text1" w:themeTint="D9"/>
                <w:sz w:val="20"/>
                <w:szCs w:val="20"/>
              </w:rPr>
            </w:pPr>
            <w:r w:rsidRPr="00CA69BC">
              <w:rPr>
                <w:color w:val="262626" w:themeColor="text1" w:themeTint="D9"/>
                <w:sz w:val="20"/>
                <w:szCs w:val="20"/>
              </w:rPr>
              <w:t>982.6</w:t>
            </w:r>
          </w:p>
        </w:tc>
        <w:tc>
          <w:tcPr>
            <w:tcW w:w="1125" w:type="dxa"/>
            <w:tcBorders>
              <w:top w:val="single" w:sz="4" w:space="0" w:color="auto"/>
              <w:left w:val="single" w:sz="4" w:space="0" w:color="auto"/>
              <w:bottom w:val="single" w:sz="4" w:space="0" w:color="auto"/>
              <w:right w:val="single" w:sz="4" w:space="0" w:color="auto"/>
            </w:tcBorders>
            <w:vAlign w:val="center"/>
          </w:tcPr>
          <w:p w14:paraId="2AC80F2A" w14:textId="1D74DBEF" w:rsidR="00677B6C" w:rsidRPr="00CA69BC" w:rsidRDefault="00BB41FB" w:rsidP="00237C3B">
            <w:pPr>
              <w:jc w:val="center"/>
              <w:rPr>
                <w:color w:val="262626" w:themeColor="text1" w:themeTint="D9"/>
                <w:sz w:val="20"/>
                <w:szCs w:val="20"/>
              </w:rPr>
            </w:pPr>
            <w:r w:rsidRPr="00CA69BC">
              <w:rPr>
                <w:color w:val="262626" w:themeColor="text1" w:themeTint="D9"/>
                <w:sz w:val="20"/>
                <w:szCs w:val="20"/>
              </w:rPr>
              <w:t>361.</w:t>
            </w:r>
            <w:r w:rsidR="000747C3">
              <w:rPr>
                <w:color w:val="262626" w:themeColor="text1" w:themeTint="D9"/>
                <w:sz w:val="20"/>
                <w:szCs w:val="20"/>
              </w:rPr>
              <w:t>4</w:t>
            </w:r>
          </w:p>
        </w:tc>
      </w:tr>
    </w:tbl>
    <w:p w14:paraId="406DEE00" w14:textId="5E9A72AF" w:rsidR="00677B6C" w:rsidRPr="00E376B3" w:rsidRDefault="00677B6C" w:rsidP="00677B6C">
      <w:pPr>
        <w:pStyle w:val="NoSpacing"/>
        <w:jc w:val="both"/>
        <w:rPr>
          <w:i/>
          <w:iCs/>
          <w:sz w:val="20"/>
          <w:szCs w:val="20"/>
        </w:rPr>
      </w:pPr>
      <w:r w:rsidRPr="00E376B3">
        <w:rPr>
          <w:i/>
          <w:iCs/>
          <w:sz w:val="20"/>
          <w:szCs w:val="20"/>
        </w:rPr>
        <w:t xml:space="preserve">Source: </w:t>
      </w:r>
      <w:proofErr w:type="spellStart"/>
      <w:r w:rsidRPr="00E376B3">
        <w:rPr>
          <w:i/>
          <w:iCs/>
          <w:sz w:val="20"/>
          <w:szCs w:val="20"/>
        </w:rPr>
        <w:t>MassGIS</w:t>
      </w:r>
      <w:proofErr w:type="spellEnd"/>
      <w:r w:rsidRPr="00E376B3">
        <w:rPr>
          <w:i/>
          <w:iCs/>
          <w:sz w:val="20"/>
          <w:szCs w:val="20"/>
        </w:rPr>
        <w:t xml:space="preserve"> Land Use (1971-1999)</w:t>
      </w:r>
      <w:r w:rsidR="002273BD" w:rsidRPr="00E376B3">
        <w:rPr>
          <w:i/>
          <w:iCs/>
          <w:sz w:val="20"/>
          <w:szCs w:val="20"/>
        </w:rPr>
        <w:t>,</w:t>
      </w:r>
      <w:r w:rsidRPr="00E376B3">
        <w:rPr>
          <w:i/>
          <w:iCs/>
          <w:sz w:val="20"/>
          <w:szCs w:val="20"/>
        </w:rPr>
        <w:t xml:space="preserve"> </w:t>
      </w:r>
      <w:proofErr w:type="spellStart"/>
      <w:r w:rsidRPr="00E376B3">
        <w:rPr>
          <w:i/>
          <w:iCs/>
          <w:sz w:val="20"/>
          <w:szCs w:val="20"/>
        </w:rPr>
        <w:t>MassGIS</w:t>
      </w:r>
      <w:proofErr w:type="spellEnd"/>
      <w:r w:rsidRPr="00E376B3">
        <w:rPr>
          <w:i/>
          <w:iCs/>
          <w:sz w:val="20"/>
          <w:szCs w:val="20"/>
        </w:rPr>
        <w:t xml:space="preserve"> Land Use (2005)</w:t>
      </w:r>
    </w:p>
    <w:p w14:paraId="48128E9E" w14:textId="079BF95E" w:rsidR="0022730D" w:rsidRDefault="0022730D" w:rsidP="0022730D">
      <w:pPr>
        <w:spacing w:before="120" w:after="120"/>
        <w:jc w:val="both"/>
        <w:rPr>
          <w:rFonts w:eastAsia="Swis721 Lt BT" w:cs="Swis721 Lt BT"/>
          <w:shd w:val="clear" w:color="auto" w:fill="FFFFFF"/>
        </w:rPr>
      </w:pPr>
      <w:r>
        <w:t>Table 5-2 below provides a breakdown of land cover based on Massachusetts Geographic Information System (</w:t>
      </w:r>
      <w:proofErr w:type="spellStart"/>
      <w:r>
        <w:t>MassGIS</w:t>
      </w:r>
      <w:proofErr w:type="spellEnd"/>
      <w:r>
        <w:t xml:space="preserve">) 2005 Land Use data. This data set documents land area covered by forests, wetlands, impervious surfaces, agriculture, and other land and water classifications. </w:t>
      </w:r>
    </w:p>
    <w:tbl>
      <w:tblPr>
        <w:tblStyle w:val="TableGrid1"/>
        <w:tblW w:w="9355" w:type="dxa"/>
        <w:jc w:val="center"/>
        <w:tblLook w:val="04A0" w:firstRow="1" w:lastRow="0" w:firstColumn="1" w:lastColumn="0" w:noHBand="0" w:noVBand="1"/>
      </w:tblPr>
      <w:tblGrid>
        <w:gridCol w:w="1463"/>
        <w:gridCol w:w="6632"/>
        <w:gridCol w:w="1260"/>
      </w:tblGrid>
      <w:tr w:rsidR="004E22A9" w:rsidRPr="00C6106D" w14:paraId="5B00BC51" w14:textId="77777777" w:rsidTr="00E376B3">
        <w:trPr>
          <w:trHeight w:val="288"/>
          <w:tblHeader/>
          <w:jc w:val="center"/>
        </w:trPr>
        <w:tc>
          <w:tcPr>
            <w:tcW w:w="9355" w:type="dxa"/>
            <w:gridSpan w:val="3"/>
            <w:shd w:val="clear" w:color="auto" w:fill="007FB2"/>
            <w:vAlign w:val="center"/>
          </w:tcPr>
          <w:p w14:paraId="0119EF5F" w14:textId="42AFC343" w:rsidR="004E22A9" w:rsidRPr="00CA69BC" w:rsidRDefault="005D4760" w:rsidP="000747C3">
            <w:pPr>
              <w:rPr>
                <w:b/>
                <w:bCs/>
                <w:sz w:val="20"/>
                <w:szCs w:val="20"/>
              </w:rPr>
            </w:pPr>
            <w:r w:rsidRPr="00CA69BC">
              <w:rPr>
                <w:rFonts w:cs="Arial"/>
                <w:b/>
                <w:bCs/>
                <w:color w:val="FFFFFF" w:themeColor="background1"/>
                <w:sz w:val="20"/>
                <w:szCs w:val="20"/>
              </w:rPr>
              <w:t>Table 5-</w:t>
            </w:r>
            <w:r>
              <w:rPr>
                <w:rFonts w:cs="Arial"/>
                <w:b/>
                <w:bCs/>
                <w:color w:val="FFFFFF" w:themeColor="background1"/>
                <w:sz w:val="20"/>
                <w:szCs w:val="20"/>
              </w:rPr>
              <w:fldChar w:fldCharType="begin"/>
            </w:r>
            <w:r>
              <w:rPr>
                <w:rFonts w:cs="Arial"/>
                <w:b/>
                <w:bCs/>
                <w:color w:val="FFFFFF" w:themeColor="background1"/>
                <w:sz w:val="20"/>
                <w:szCs w:val="20"/>
              </w:rPr>
              <w:instrText xml:space="preserve"> SEQ Table \* MERGEFORMAT </w:instrText>
            </w:r>
            <w:r>
              <w:rPr>
                <w:rFonts w:cs="Arial"/>
                <w:b/>
                <w:bCs/>
                <w:color w:val="FFFFFF" w:themeColor="background1"/>
                <w:sz w:val="20"/>
                <w:szCs w:val="20"/>
              </w:rPr>
              <w:fldChar w:fldCharType="separate"/>
            </w:r>
            <w:r>
              <w:rPr>
                <w:rFonts w:cs="Arial"/>
                <w:b/>
                <w:bCs/>
                <w:noProof/>
                <w:color w:val="FFFFFF" w:themeColor="background1"/>
                <w:sz w:val="20"/>
                <w:szCs w:val="20"/>
              </w:rPr>
              <w:t>2</w:t>
            </w:r>
            <w:r>
              <w:rPr>
                <w:rFonts w:cs="Arial"/>
                <w:b/>
                <w:bCs/>
                <w:color w:val="FFFFFF" w:themeColor="background1"/>
                <w:sz w:val="20"/>
                <w:szCs w:val="20"/>
              </w:rPr>
              <w:fldChar w:fldCharType="end"/>
            </w:r>
            <w:r w:rsidR="00CA69BC" w:rsidRPr="00CA69BC">
              <w:rPr>
                <w:rFonts w:cs="Arial"/>
                <w:b/>
                <w:bCs/>
                <w:color w:val="FFFFFF" w:themeColor="background1"/>
                <w:sz w:val="20"/>
                <w:szCs w:val="20"/>
              </w:rPr>
              <w:t>.</w:t>
            </w:r>
            <w:r w:rsidR="00263120" w:rsidRPr="00CA69BC">
              <w:rPr>
                <w:rFonts w:cs="Arial"/>
                <w:b/>
                <w:bCs/>
                <w:color w:val="FFFFFF" w:themeColor="background1"/>
                <w:sz w:val="20"/>
                <w:szCs w:val="20"/>
              </w:rPr>
              <w:t xml:space="preserve"> Existing Land Use 2005</w:t>
            </w:r>
          </w:p>
        </w:tc>
      </w:tr>
      <w:tr w:rsidR="004E22A9" w:rsidRPr="00C6106D" w14:paraId="7AA90B00" w14:textId="77777777" w:rsidTr="00E376B3">
        <w:trPr>
          <w:trHeight w:val="288"/>
          <w:tblHeader/>
          <w:jc w:val="center"/>
        </w:trPr>
        <w:tc>
          <w:tcPr>
            <w:tcW w:w="1463" w:type="dxa"/>
            <w:shd w:val="clear" w:color="auto" w:fill="007FB2"/>
            <w:vAlign w:val="center"/>
          </w:tcPr>
          <w:p w14:paraId="78966ACE" w14:textId="77777777" w:rsidR="004E22A9" w:rsidRPr="00CA69BC" w:rsidRDefault="004E22A9" w:rsidP="00E376B3">
            <w:pPr>
              <w:pStyle w:val="Heading4"/>
              <w:jc w:val="center"/>
              <w:rPr>
                <w:color w:val="FFFFFF" w:themeColor="background1"/>
              </w:rPr>
            </w:pPr>
            <w:bookmarkStart w:id="1" w:name="_Hlk92896568"/>
            <w:r w:rsidRPr="00CA69BC">
              <w:rPr>
                <w:color w:val="FFFFFF" w:themeColor="background1"/>
              </w:rPr>
              <w:t>Land Use</w:t>
            </w:r>
          </w:p>
        </w:tc>
        <w:tc>
          <w:tcPr>
            <w:tcW w:w="6632" w:type="dxa"/>
            <w:shd w:val="clear" w:color="auto" w:fill="007FB2"/>
            <w:vAlign w:val="center"/>
          </w:tcPr>
          <w:p w14:paraId="4B150998" w14:textId="48E83A47" w:rsidR="004E22A9" w:rsidRPr="00CA69BC" w:rsidRDefault="004E22A9" w:rsidP="003A794B">
            <w:pPr>
              <w:jc w:val="center"/>
              <w:rPr>
                <w:b/>
                <w:bCs/>
                <w:color w:val="FFFFFF" w:themeColor="background1"/>
                <w:sz w:val="20"/>
                <w:szCs w:val="20"/>
              </w:rPr>
            </w:pPr>
            <w:r w:rsidRPr="00CA69BC">
              <w:rPr>
                <w:b/>
                <w:bCs/>
                <w:color w:val="FFFFFF" w:themeColor="background1"/>
                <w:sz w:val="20"/>
                <w:szCs w:val="20"/>
              </w:rPr>
              <w:t>Mass GIS Land Use Description (2005</w:t>
            </w:r>
            <w:r w:rsidR="00263120" w:rsidRPr="00CA69BC">
              <w:rPr>
                <w:b/>
                <w:bCs/>
                <w:color w:val="FFFFFF" w:themeColor="background1"/>
                <w:sz w:val="20"/>
                <w:szCs w:val="20"/>
              </w:rPr>
              <w:t>)</w:t>
            </w:r>
          </w:p>
        </w:tc>
        <w:tc>
          <w:tcPr>
            <w:tcW w:w="1260" w:type="dxa"/>
            <w:shd w:val="clear" w:color="auto" w:fill="007FB2"/>
            <w:vAlign w:val="center"/>
          </w:tcPr>
          <w:p w14:paraId="7112D602" w14:textId="557465C8" w:rsidR="004E22A9" w:rsidRPr="00CA69BC" w:rsidRDefault="004E22A9" w:rsidP="003A794B">
            <w:pPr>
              <w:jc w:val="center"/>
              <w:rPr>
                <w:b/>
                <w:bCs/>
                <w:color w:val="FFFFFF" w:themeColor="background1"/>
                <w:sz w:val="20"/>
                <w:szCs w:val="20"/>
              </w:rPr>
            </w:pPr>
            <w:r w:rsidRPr="00CA69BC">
              <w:rPr>
                <w:b/>
                <w:bCs/>
                <w:color w:val="FFFFFF" w:themeColor="background1"/>
                <w:sz w:val="20"/>
                <w:szCs w:val="20"/>
              </w:rPr>
              <w:t>Mashpee Land Area (Acres)</w:t>
            </w:r>
          </w:p>
        </w:tc>
      </w:tr>
      <w:bookmarkEnd w:id="1"/>
      <w:tr w:rsidR="004E22A9" w:rsidRPr="00C6106D" w14:paraId="3419FD47" w14:textId="77777777" w:rsidTr="005D4760">
        <w:trPr>
          <w:trHeight w:val="288"/>
          <w:jc w:val="center"/>
        </w:trPr>
        <w:tc>
          <w:tcPr>
            <w:tcW w:w="1463" w:type="dxa"/>
            <w:vMerge w:val="restart"/>
            <w:vAlign w:val="center"/>
          </w:tcPr>
          <w:p w14:paraId="4218098B" w14:textId="77777777" w:rsidR="004E22A9" w:rsidRPr="00CA69BC" w:rsidRDefault="004E22A9" w:rsidP="00E376B3">
            <w:pPr>
              <w:pStyle w:val="CommentText"/>
              <w:jc w:val="center"/>
            </w:pPr>
            <w:r w:rsidRPr="00CA69BC">
              <w:t>Agriculture</w:t>
            </w:r>
          </w:p>
        </w:tc>
        <w:tc>
          <w:tcPr>
            <w:tcW w:w="6632" w:type="dxa"/>
            <w:vAlign w:val="center"/>
          </w:tcPr>
          <w:p w14:paraId="7634A977" w14:textId="77777777" w:rsidR="004E22A9" w:rsidRPr="00CA69BC" w:rsidRDefault="004E22A9" w:rsidP="007246D2">
            <w:pPr>
              <w:rPr>
                <w:color w:val="262626" w:themeColor="text1" w:themeTint="D9"/>
                <w:sz w:val="20"/>
                <w:szCs w:val="20"/>
              </w:rPr>
            </w:pPr>
            <w:r w:rsidRPr="00CA69BC">
              <w:rPr>
                <w:color w:val="262626" w:themeColor="text1" w:themeTint="D9"/>
                <w:sz w:val="20"/>
                <w:szCs w:val="20"/>
              </w:rPr>
              <w:t>Cranberry Bog:</w:t>
            </w:r>
          </w:p>
          <w:p w14:paraId="4FD9457C" w14:textId="2784A85A" w:rsidR="004E22A9" w:rsidRPr="00CA69BC" w:rsidRDefault="004E22A9" w:rsidP="007246D2">
            <w:pPr>
              <w:rPr>
                <w:sz w:val="20"/>
                <w:szCs w:val="20"/>
              </w:rPr>
            </w:pPr>
            <w:r w:rsidRPr="00CA69BC">
              <w:rPr>
                <w:rFonts w:cs="Noto Sans"/>
                <w:color w:val="141414"/>
                <w:sz w:val="20"/>
                <w:szCs w:val="20"/>
              </w:rPr>
              <w:t>Both active and recently inactive cranberry bogs and the sandy areas adjacent to the bogs are used in the growing process. Impervious features associated with cranberry bogs such as parking lots and machinery are included.</w:t>
            </w:r>
          </w:p>
        </w:tc>
        <w:tc>
          <w:tcPr>
            <w:tcW w:w="1260" w:type="dxa"/>
            <w:vAlign w:val="center"/>
          </w:tcPr>
          <w:p w14:paraId="5D4B7D7D" w14:textId="6BE2AC7E" w:rsidR="004E22A9" w:rsidRPr="00CA69BC" w:rsidRDefault="004E22A9" w:rsidP="00856B6D">
            <w:pPr>
              <w:jc w:val="center"/>
              <w:rPr>
                <w:sz w:val="20"/>
                <w:szCs w:val="20"/>
              </w:rPr>
            </w:pPr>
            <w:r w:rsidRPr="00CA69BC">
              <w:rPr>
                <w:sz w:val="20"/>
                <w:szCs w:val="20"/>
              </w:rPr>
              <w:t>108.3</w:t>
            </w:r>
          </w:p>
        </w:tc>
      </w:tr>
      <w:tr w:rsidR="004E22A9" w:rsidRPr="00C6106D" w14:paraId="38231A7D" w14:textId="77777777" w:rsidTr="005D4760">
        <w:trPr>
          <w:trHeight w:val="288"/>
          <w:jc w:val="center"/>
        </w:trPr>
        <w:tc>
          <w:tcPr>
            <w:tcW w:w="1463" w:type="dxa"/>
            <w:vMerge/>
            <w:vAlign w:val="center"/>
          </w:tcPr>
          <w:p w14:paraId="6416509A" w14:textId="77777777" w:rsidR="004E22A9" w:rsidRPr="00CA69BC" w:rsidRDefault="004E22A9" w:rsidP="00E376B3">
            <w:pPr>
              <w:jc w:val="center"/>
              <w:rPr>
                <w:sz w:val="20"/>
                <w:szCs w:val="20"/>
              </w:rPr>
            </w:pPr>
          </w:p>
        </w:tc>
        <w:tc>
          <w:tcPr>
            <w:tcW w:w="6632" w:type="dxa"/>
            <w:vAlign w:val="center"/>
          </w:tcPr>
          <w:p w14:paraId="0D312038" w14:textId="7777777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Pasture:</w:t>
            </w:r>
          </w:p>
          <w:p w14:paraId="30ADB127" w14:textId="2AA6AAF4" w:rsidR="004E22A9" w:rsidRPr="00CA69BC" w:rsidRDefault="004E22A9" w:rsidP="007246D2">
            <w:pPr>
              <w:rPr>
                <w:sz w:val="20"/>
                <w:szCs w:val="20"/>
              </w:rPr>
            </w:pPr>
            <w:r w:rsidRPr="00CA69BC">
              <w:rPr>
                <w:rFonts w:cs="Noto Sans"/>
                <w:color w:val="141414"/>
                <w:sz w:val="20"/>
                <w:szCs w:val="20"/>
              </w:rPr>
              <w:t xml:space="preserve">Fields and associated facilities (barns and other outbuildings) </w:t>
            </w:r>
            <w:r w:rsidR="00514429" w:rsidRPr="00CA69BC">
              <w:rPr>
                <w:rFonts w:cs="Noto Sans"/>
                <w:color w:val="141414"/>
                <w:sz w:val="20"/>
                <w:szCs w:val="20"/>
              </w:rPr>
              <w:t xml:space="preserve">are </w:t>
            </w:r>
            <w:r w:rsidRPr="00CA69BC">
              <w:rPr>
                <w:rFonts w:cs="Noto Sans"/>
                <w:color w:val="141414"/>
                <w:sz w:val="20"/>
                <w:szCs w:val="20"/>
              </w:rPr>
              <w:t>used for animal grazing and the growing of grasses for hay.</w:t>
            </w:r>
          </w:p>
        </w:tc>
        <w:tc>
          <w:tcPr>
            <w:tcW w:w="1260" w:type="dxa"/>
            <w:vAlign w:val="center"/>
          </w:tcPr>
          <w:p w14:paraId="1271F079" w14:textId="72003EBA" w:rsidR="004E22A9" w:rsidRPr="00CA69BC" w:rsidRDefault="004E22A9" w:rsidP="00856B6D">
            <w:pPr>
              <w:jc w:val="center"/>
              <w:rPr>
                <w:sz w:val="20"/>
                <w:szCs w:val="20"/>
              </w:rPr>
            </w:pPr>
            <w:r w:rsidRPr="00CA69BC">
              <w:rPr>
                <w:sz w:val="20"/>
                <w:szCs w:val="20"/>
              </w:rPr>
              <w:t>2.5</w:t>
            </w:r>
          </w:p>
        </w:tc>
      </w:tr>
      <w:tr w:rsidR="004E22A9" w:rsidRPr="00C6106D" w14:paraId="558C24B9" w14:textId="77777777" w:rsidTr="005D4760">
        <w:trPr>
          <w:trHeight w:val="288"/>
          <w:jc w:val="center"/>
        </w:trPr>
        <w:tc>
          <w:tcPr>
            <w:tcW w:w="1463" w:type="dxa"/>
            <w:vMerge/>
            <w:vAlign w:val="center"/>
          </w:tcPr>
          <w:p w14:paraId="4C4043B0" w14:textId="77777777" w:rsidR="004E22A9" w:rsidRPr="00CA69BC" w:rsidRDefault="004E22A9" w:rsidP="00E376B3">
            <w:pPr>
              <w:jc w:val="center"/>
              <w:rPr>
                <w:sz w:val="20"/>
                <w:szCs w:val="20"/>
              </w:rPr>
            </w:pPr>
          </w:p>
        </w:tc>
        <w:tc>
          <w:tcPr>
            <w:tcW w:w="6632" w:type="dxa"/>
            <w:vAlign w:val="center"/>
          </w:tcPr>
          <w:p w14:paraId="629E95BE" w14:textId="7777777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Cropland:</w:t>
            </w:r>
          </w:p>
          <w:p w14:paraId="1B300CE9" w14:textId="2D943A3B"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Generally</w:t>
            </w:r>
            <w:r w:rsidR="00514429" w:rsidRPr="00CA69BC">
              <w:rPr>
                <w:color w:val="262626" w:themeColor="text1" w:themeTint="D9"/>
                <w:sz w:val="20"/>
                <w:szCs w:val="20"/>
              </w:rPr>
              <w:t>,</w:t>
            </w:r>
            <w:r w:rsidRPr="00CA69BC">
              <w:rPr>
                <w:color w:val="262626" w:themeColor="text1" w:themeTint="D9"/>
                <w:sz w:val="20"/>
                <w:szCs w:val="20"/>
              </w:rPr>
              <w:t xml:space="preserve"> tilled land </w:t>
            </w:r>
            <w:r w:rsidR="00514429" w:rsidRPr="00CA69BC">
              <w:rPr>
                <w:color w:val="262626" w:themeColor="text1" w:themeTint="D9"/>
                <w:sz w:val="20"/>
                <w:szCs w:val="20"/>
              </w:rPr>
              <w:t xml:space="preserve">is </w:t>
            </w:r>
            <w:r w:rsidRPr="00CA69BC">
              <w:rPr>
                <w:color w:val="262626" w:themeColor="text1" w:themeTint="D9"/>
                <w:sz w:val="20"/>
                <w:szCs w:val="20"/>
              </w:rPr>
              <w:t>used to grow row crops. Boundaries follow the shape of the fields and include associated buildings (e.g., barns). This category also includes turf farms that grow sod.</w:t>
            </w:r>
          </w:p>
        </w:tc>
        <w:tc>
          <w:tcPr>
            <w:tcW w:w="1260" w:type="dxa"/>
            <w:vAlign w:val="center"/>
          </w:tcPr>
          <w:p w14:paraId="1D6C0F1A" w14:textId="0E736793" w:rsidR="004E22A9" w:rsidRPr="00CA69BC" w:rsidRDefault="000747C3" w:rsidP="00856B6D">
            <w:pPr>
              <w:jc w:val="center"/>
              <w:rPr>
                <w:rFonts w:cstheme="minorHAnsi"/>
                <w:sz w:val="20"/>
                <w:szCs w:val="20"/>
              </w:rPr>
            </w:pPr>
            <w:r>
              <w:rPr>
                <w:rFonts w:cstheme="minorHAnsi"/>
                <w:sz w:val="20"/>
                <w:szCs w:val="20"/>
              </w:rPr>
              <w:t>&lt;1</w:t>
            </w:r>
          </w:p>
        </w:tc>
      </w:tr>
      <w:tr w:rsidR="004E22A9" w:rsidRPr="00C6106D" w14:paraId="6676F179" w14:textId="77777777" w:rsidTr="005D4760">
        <w:trPr>
          <w:trHeight w:val="288"/>
          <w:jc w:val="center"/>
        </w:trPr>
        <w:tc>
          <w:tcPr>
            <w:tcW w:w="1463" w:type="dxa"/>
            <w:vMerge/>
            <w:vAlign w:val="center"/>
          </w:tcPr>
          <w:p w14:paraId="35BC00A8" w14:textId="77777777" w:rsidR="004E22A9" w:rsidRPr="00CA69BC" w:rsidRDefault="004E22A9" w:rsidP="00E376B3">
            <w:pPr>
              <w:jc w:val="center"/>
              <w:rPr>
                <w:sz w:val="20"/>
                <w:szCs w:val="20"/>
              </w:rPr>
            </w:pPr>
          </w:p>
        </w:tc>
        <w:tc>
          <w:tcPr>
            <w:tcW w:w="6632" w:type="dxa"/>
            <w:vAlign w:val="center"/>
          </w:tcPr>
          <w:p w14:paraId="3ECE4633" w14:textId="0A67E69A"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Nursery:</w:t>
            </w:r>
          </w:p>
          <w:p w14:paraId="185C17C0" w14:textId="28C23DEC"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Greenhouses and associated buildings as well as any surrounding maintained lawn.  Christmas tree (small conifer) farms are also classified as Nurseries.</w:t>
            </w:r>
          </w:p>
        </w:tc>
        <w:tc>
          <w:tcPr>
            <w:tcW w:w="1260" w:type="dxa"/>
            <w:vAlign w:val="center"/>
          </w:tcPr>
          <w:p w14:paraId="2007CE02" w14:textId="7C592B92" w:rsidR="004E22A9" w:rsidRPr="00CA69BC" w:rsidRDefault="004E22A9" w:rsidP="00856B6D">
            <w:pPr>
              <w:jc w:val="center"/>
              <w:rPr>
                <w:rFonts w:cstheme="minorHAnsi"/>
                <w:sz w:val="20"/>
                <w:szCs w:val="20"/>
              </w:rPr>
            </w:pPr>
            <w:r w:rsidRPr="00CA69BC">
              <w:rPr>
                <w:rFonts w:cstheme="minorHAnsi"/>
                <w:sz w:val="20"/>
                <w:szCs w:val="20"/>
              </w:rPr>
              <w:t>1.</w:t>
            </w:r>
            <w:r w:rsidR="000747C3">
              <w:rPr>
                <w:rFonts w:cstheme="minorHAnsi"/>
                <w:sz w:val="20"/>
                <w:szCs w:val="20"/>
              </w:rPr>
              <w:t>6</w:t>
            </w:r>
          </w:p>
        </w:tc>
      </w:tr>
      <w:tr w:rsidR="004E22A9" w:rsidRPr="00C6106D" w14:paraId="44BD3556" w14:textId="77777777" w:rsidTr="00E376B3">
        <w:trPr>
          <w:trHeight w:val="288"/>
          <w:jc w:val="center"/>
        </w:trPr>
        <w:tc>
          <w:tcPr>
            <w:tcW w:w="1463" w:type="dxa"/>
            <w:vMerge/>
            <w:vAlign w:val="center"/>
          </w:tcPr>
          <w:p w14:paraId="7C1AAB7C" w14:textId="77777777" w:rsidR="004E22A9" w:rsidRPr="00CA69BC" w:rsidRDefault="004E22A9" w:rsidP="00E376B3">
            <w:pPr>
              <w:jc w:val="center"/>
              <w:rPr>
                <w:sz w:val="20"/>
                <w:szCs w:val="20"/>
              </w:rPr>
            </w:pPr>
          </w:p>
        </w:tc>
        <w:tc>
          <w:tcPr>
            <w:tcW w:w="6632" w:type="dxa"/>
            <w:shd w:val="clear" w:color="auto" w:fill="F2F2F2" w:themeFill="background1" w:themeFillShade="F2"/>
            <w:vAlign w:val="center"/>
          </w:tcPr>
          <w:p w14:paraId="2631AFE8" w14:textId="44D05D43" w:rsidR="004E22A9" w:rsidRPr="00CA69BC" w:rsidRDefault="004E22A9" w:rsidP="007246D2">
            <w:pPr>
              <w:spacing w:line="240" w:lineRule="exact"/>
              <w:rPr>
                <w:color w:val="262626" w:themeColor="text1" w:themeTint="D9"/>
                <w:sz w:val="20"/>
                <w:szCs w:val="20"/>
              </w:rPr>
            </w:pPr>
            <w:r w:rsidRPr="00CA69BC">
              <w:rPr>
                <w:b/>
                <w:bCs/>
                <w:color w:val="262626" w:themeColor="text1" w:themeTint="D9"/>
                <w:sz w:val="20"/>
                <w:szCs w:val="20"/>
              </w:rPr>
              <w:t>Total Agriculture</w:t>
            </w:r>
          </w:p>
        </w:tc>
        <w:tc>
          <w:tcPr>
            <w:tcW w:w="1260" w:type="dxa"/>
            <w:shd w:val="clear" w:color="auto" w:fill="F2F2F2" w:themeFill="background1" w:themeFillShade="F2"/>
            <w:vAlign w:val="center"/>
          </w:tcPr>
          <w:p w14:paraId="5B36147F" w14:textId="03E97096" w:rsidR="004E22A9" w:rsidRPr="00CA69BC" w:rsidRDefault="004E22A9" w:rsidP="00486EC8">
            <w:pPr>
              <w:jc w:val="center"/>
              <w:rPr>
                <w:rFonts w:cstheme="minorHAnsi"/>
                <w:b/>
                <w:bCs/>
                <w:sz w:val="20"/>
                <w:szCs w:val="20"/>
              </w:rPr>
            </w:pPr>
            <w:r w:rsidRPr="00CA69BC">
              <w:rPr>
                <w:rFonts w:cstheme="minorHAnsi"/>
                <w:b/>
                <w:bCs/>
                <w:sz w:val="20"/>
                <w:szCs w:val="20"/>
              </w:rPr>
              <w:t>112.</w:t>
            </w:r>
            <w:r w:rsidR="000747C3">
              <w:rPr>
                <w:rFonts w:cstheme="minorHAnsi"/>
                <w:b/>
                <w:bCs/>
                <w:sz w:val="20"/>
                <w:szCs w:val="20"/>
              </w:rPr>
              <w:t>5</w:t>
            </w:r>
          </w:p>
        </w:tc>
      </w:tr>
      <w:tr w:rsidR="004E22A9" w:rsidRPr="00C6106D" w14:paraId="01ED2738" w14:textId="77777777" w:rsidTr="005D4760">
        <w:trPr>
          <w:trHeight w:val="288"/>
          <w:jc w:val="center"/>
        </w:trPr>
        <w:tc>
          <w:tcPr>
            <w:tcW w:w="1463" w:type="dxa"/>
            <w:vMerge w:val="restart"/>
            <w:vAlign w:val="center"/>
          </w:tcPr>
          <w:p w14:paraId="29B3FEFB" w14:textId="77777777" w:rsidR="004E22A9" w:rsidRPr="00CA69BC" w:rsidRDefault="004E22A9" w:rsidP="00E376B3">
            <w:pPr>
              <w:jc w:val="center"/>
              <w:rPr>
                <w:sz w:val="20"/>
                <w:szCs w:val="20"/>
              </w:rPr>
            </w:pPr>
            <w:r w:rsidRPr="00CA69BC">
              <w:rPr>
                <w:color w:val="000000" w:themeColor="text1"/>
                <w:sz w:val="20"/>
                <w:szCs w:val="20"/>
              </w:rPr>
              <w:t>Recreation &amp; Public Space</w:t>
            </w:r>
          </w:p>
        </w:tc>
        <w:tc>
          <w:tcPr>
            <w:tcW w:w="6632" w:type="dxa"/>
            <w:vAlign w:val="center"/>
          </w:tcPr>
          <w:p w14:paraId="1CB4830D" w14:textId="7777777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Urban Public/ Institutional:</w:t>
            </w:r>
          </w:p>
          <w:p w14:paraId="54145C84" w14:textId="5897BF99" w:rsidR="004E22A9" w:rsidRPr="00CA69BC" w:rsidRDefault="004E22A9" w:rsidP="007246D2">
            <w:pPr>
              <w:spacing w:line="240" w:lineRule="exact"/>
              <w:rPr>
                <w:b/>
                <w:bCs/>
                <w:color w:val="262626" w:themeColor="text1" w:themeTint="D9"/>
                <w:sz w:val="20"/>
                <w:szCs w:val="20"/>
              </w:rPr>
            </w:pPr>
            <w:r w:rsidRPr="00CA69BC">
              <w:rPr>
                <w:rFonts w:cs="Noto Sans"/>
                <w:color w:val="141414"/>
                <w:sz w:val="20"/>
                <w:szCs w:val="20"/>
              </w:rPr>
              <w:t xml:space="preserve">Lands comprising schools, churches, colleges, hospitals, museums, prisons, </w:t>
            </w:r>
            <w:r w:rsidR="009743B9" w:rsidRPr="00CA69BC">
              <w:rPr>
                <w:rFonts w:cs="Noto Sans"/>
                <w:color w:val="141414"/>
                <w:sz w:val="20"/>
                <w:szCs w:val="20"/>
              </w:rPr>
              <w:t>Town</w:t>
            </w:r>
            <w:r w:rsidRPr="00CA69BC">
              <w:rPr>
                <w:rFonts w:cs="Noto Sans"/>
                <w:color w:val="141414"/>
                <w:sz w:val="20"/>
                <w:szCs w:val="20"/>
              </w:rPr>
              <w:t xml:space="preserve"> halls or courthouses, police and fire stations, including parking lots, dormitories, and university housing. Also, may include public open green spaces like </w:t>
            </w:r>
            <w:r w:rsidR="009743B9" w:rsidRPr="00CA69BC">
              <w:rPr>
                <w:rFonts w:cs="Noto Sans"/>
                <w:color w:val="141414"/>
                <w:sz w:val="20"/>
                <w:szCs w:val="20"/>
              </w:rPr>
              <w:t>Town</w:t>
            </w:r>
            <w:r w:rsidRPr="00CA69BC">
              <w:rPr>
                <w:rFonts w:cs="Noto Sans"/>
                <w:color w:val="141414"/>
                <w:sz w:val="20"/>
                <w:szCs w:val="20"/>
              </w:rPr>
              <w:t xml:space="preserve"> commons.</w:t>
            </w:r>
          </w:p>
        </w:tc>
        <w:tc>
          <w:tcPr>
            <w:tcW w:w="1260" w:type="dxa"/>
            <w:vAlign w:val="center"/>
          </w:tcPr>
          <w:p w14:paraId="2C2E2924" w14:textId="509E45B2" w:rsidR="004E22A9" w:rsidRPr="00CA69BC" w:rsidRDefault="004E22A9" w:rsidP="007279D5">
            <w:pPr>
              <w:jc w:val="center"/>
              <w:rPr>
                <w:color w:val="000000" w:themeColor="text1"/>
                <w:sz w:val="20"/>
                <w:szCs w:val="20"/>
              </w:rPr>
            </w:pPr>
            <w:r w:rsidRPr="00CA69BC">
              <w:rPr>
                <w:color w:val="000000" w:themeColor="text1"/>
                <w:sz w:val="20"/>
                <w:szCs w:val="20"/>
              </w:rPr>
              <w:t>117.</w:t>
            </w:r>
            <w:r w:rsidR="000747C3">
              <w:rPr>
                <w:color w:val="000000" w:themeColor="text1"/>
                <w:sz w:val="20"/>
                <w:szCs w:val="20"/>
              </w:rPr>
              <w:t>2</w:t>
            </w:r>
          </w:p>
        </w:tc>
      </w:tr>
      <w:tr w:rsidR="004E22A9" w:rsidRPr="00C6106D" w14:paraId="0A20554A" w14:textId="77777777" w:rsidTr="005D4760">
        <w:trPr>
          <w:trHeight w:val="288"/>
          <w:jc w:val="center"/>
        </w:trPr>
        <w:tc>
          <w:tcPr>
            <w:tcW w:w="1463" w:type="dxa"/>
            <w:vMerge/>
          </w:tcPr>
          <w:p w14:paraId="02063A5B" w14:textId="77777777" w:rsidR="004E22A9" w:rsidRPr="00CA69BC" w:rsidRDefault="004E22A9" w:rsidP="00E376B3">
            <w:pPr>
              <w:jc w:val="center"/>
              <w:rPr>
                <w:sz w:val="20"/>
                <w:szCs w:val="20"/>
              </w:rPr>
            </w:pPr>
          </w:p>
        </w:tc>
        <w:tc>
          <w:tcPr>
            <w:tcW w:w="6632" w:type="dxa"/>
            <w:vAlign w:val="center"/>
          </w:tcPr>
          <w:p w14:paraId="53AD671C" w14:textId="0108177E"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Water</w:t>
            </w:r>
            <w:r w:rsidR="00514429" w:rsidRPr="00CA69BC">
              <w:rPr>
                <w:color w:val="262626" w:themeColor="text1" w:themeTint="D9"/>
                <w:sz w:val="20"/>
                <w:szCs w:val="20"/>
              </w:rPr>
              <w:t>-</w:t>
            </w:r>
            <w:r w:rsidRPr="00CA69BC">
              <w:rPr>
                <w:color w:val="262626" w:themeColor="text1" w:themeTint="D9"/>
                <w:sz w:val="20"/>
                <w:szCs w:val="20"/>
              </w:rPr>
              <w:t xml:space="preserve">Based Recreation: </w:t>
            </w:r>
            <w:r w:rsidRPr="00E376B3">
              <w:rPr>
                <w:rFonts w:cs="Noto Sans"/>
                <w:color w:val="141414"/>
                <w:sz w:val="20"/>
                <w:szCs w:val="20"/>
              </w:rPr>
              <w:br/>
            </w:r>
            <w:r w:rsidRPr="00CA69BC">
              <w:rPr>
                <w:rFonts w:cs="Noto Sans"/>
                <w:color w:val="141414"/>
                <w:sz w:val="20"/>
                <w:szCs w:val="20"/>
              </w:rPr>
              <w:t>Swimming pools, water parks, developed freshwater and saltwater sandy beach areas</w:t>
            </w:r>
            <w:r w:rsidR="00514429" w:rsidRPr="00CA69BC">
              <w:rPr>
                <w:rFonts w:cs="Noto Sans"/>
                <w:color w:val="141414"/>
                <w:sz w:val="20"/>
                <w:szCs w:val="20"/>
              </w:rPr>
              <w:t>,</w:t>
            </w:r>
            <w:r w:rsidRPr="00CA69BC">
              <w:rPr>
                <w:rFonts w:cs="Noto Sans"/>
                <w:color w:val="141414"/>
                <w:sz w:val="20"/>
                <w:szCs w:val="20"/>
              </w:rPr>
              <w:t xml:space="preserve"> and associated parking lots. </w:t>
            </w:r>
          </w:p>
        </w:tc>
        <w:tc>
          <w:tcPr>
            <w:tcW w:w="1260" w:type="dxa"/>
            <w:vAlign w:val="center"/>
          </w:tcPr>
          <w:p w14:paraId="3E597D15" w14:textId="62E493D4" w:rsidR="004E22A9" w:rsidRPr="00CA69BC" w:rsidRDefault="004E22A9" w:rsidP="007279D5">
            <w:pPr>
              <w:jc w:val="center"/>
              <w:rPr>
                <w:rFonts w:cstheme="minorHAnsi"/>
                <w:sz w:val="20"/>
                <w:szCs w:val="20"/>
              </w:rPr>
            </w:pPr>
            <w:r w:rsidRPr="00CA69BC">
              <w:rPr>
                <w:rFonts w:cstheme="minorHAnsi"/>
                <w:sz w:val="20"/>
                <w:szCs w:val="20"/>
              </w:rPr>
              <w:t>12.7</w:t>
            </w:r>
          </w:p>
        </w:tc>
      </w:tr>
      <w:tr w:rsidR="004E22A9" w:rsidRPr="00F6680F" w14:paraId="4F76946C" w14:textId="77777777" w:rsidTr="005D4760">
        <w:trPr>
          <w:trHeight w:val="288"/>
          <w:jc w:val="center"/>
        </w:trPr>
        <w:tc>
          <w:tcPr>
            <w:tcW w:w="1463" w:type="dxa"/>
            <w:vMerge/>
          </w:tcPr>
          <w:p w14:paraId="1574B660" w14:textId="77777777" w:rsidR="004E22A9" w:rsidRPr="00CA69BC" w:rsidRDefault="004E22A9" w:rsidP="00E376B3">
            <w:pPr>
              <w:jc w:val="center"/>
              <w:rPr>
                <w:sz w:val="20"/>
                <w:szCs w:val="20"/>
              </w:rPr>
            </w:pPr>
          </w:p>
        </w:tc>
        <w:tc>
          <w:tcPr>
            <w:tcW w:w="6632" w:type="dxa"/>
            <w:vAlign w:val="center"/>
          </w:tcPr>
          <w:p w14:paraId="4904D209" w14:textId="7777777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Participation Recreation:</w:t>
            </w:r>
          </w:p>
          <w:p w14:paraId="58FA8234" w14:textId="2E79EC94" w:rsidR="004E22A9" w:rsidRPr="00CA69BC" w:rsidRDefault="004E22A9" w:rsidP="007246D2">
            <w:pPr>
              <w:spacing w:line="240" w:lineRule="exact"/>
              <w:rPr>
                <w:b/>
                <w:bCs/>
                <w:color w:val="262626" w:themeColor="text1" w:themeTint="D9"/>
                <w:sz w:val="20"/>
                <w:szCs w:val="20"/>
              </w:rPr>
            </w:pPr>
            <w:r w:rsidRPr="00CA69BC">
              <w:rPr>
                <w:color w:val="262626" w:themeColor="text1" w:themeTint="D9"/>
                <w:sz w:val="20"/>
                <w:szCs w:val="20"/>
              </w:rPr>
              <w:t xml:space="preserve">Recreation Facilities </w:t>
            </w:r>
            <w:r w:rsidR="00514429" w:rsidRPr="00CA69BC">
              <w:rPr>
                <w:color w:val="262626" w:themeColor="text1" w:themeTint="D9"/>
                <w:sz w:val="20"/>
                <w:szCs w:val="20"/>
              </w:rPr>
              <w:t xml:space="preserve">are </w:t>
            </w:r>
            <w:r w:rsidRPr="00CA69BC">
              <w:rPr>
                <w:color w:val="262626" w:themeColor="text1" w:themeTint="D9"/>
                <w:sz w:val="20"/>
                <w:szCs w:val="20"/>
              </w:rPr>
              <w:t>used by the public for active recreation. Includes ball fields, tennis courts, basketball courts, athletic tracks, ski areas, playgrounds, and bike paths plus associated parking lots. Primary and secondary school recreational facilities are in this category, but university stadiums and arenas are considered Spectator Recreation.</w:t>
            </w:r>
          </w:p>
        </w:tc>
        <w:tc>
          <w:tcPr>
            <w:tcW w:w="1260" w:type="dxa"/>
            <w:vAlign w:val="center"/>
          </w:tcPr>
          <w:p w14:paraId="1D61E40D" w14:textId="760827DE" w:rsidR="004E22A9" w:rsidRPr="00CA69BC" w:rsidRDefault="004E22A9" w:rsidP="007279D5">
            <w:pPr>
              <w:jc w:val="center"/>
              <w:rPr>
                <w:color w:val="000000" w:themeColor="text1"/>
                <w:sz w:val="20"/>
                <w:szCs w:val="20"/>
              </w:rPr>
            </w:pPr>
            <w:r w:rsidRPr="00CA69BC">
              <w:rPr>
                <w:color w:val="000000" w:themeColor="text1"/>
                <w:sz w:val="20"/>
                <w:szCs w:val="20"/>
              </w:rPr>
              <w:t>223.5</w:t>
            </w:r>
          </w:p>
        </w:tc>
      </w:tr>
      <w:tr w:rsidR="004E22A9" w:rsidRPr="00F6680F" w14:paraId="188C1D4A" w14:textId="77777777" w:rsidTr="005D4760">
        <w:trPr>
          <w:trHeight w:val="288"/>
          <w:jc w:val="center"/>
        </w:trPr>
        <w:tc>
          <w:tcPr>
            <w:tcW w:w="1463" w:type="dxa"/>
            <w:vMerge/>
          </w:tcPr>
          <w:p w14:paraId="1328DAF0" w14:textId="77777777" w:rsidR="004E22A9" w:rsidRPr="00CA69BC" w:rsidRDefault="004E22A9" w:rsidP="00E376B3">
            <w:pPr>
              <w:jc w:val="center"/>
              <w:rPr>
                <w:sz w:val="20"/>
                <w:szCs w:val="20"/>
              </w:rPr>
            </w:pPr>
          </w:p>
        </w:tc>
        <w:tc>
          <w:tcPr>
            <w:tcW w:w="6632" w:type="dxa"/>
            <w:vAlign w:val="center"/>
          </w:tcPr>
          <w:p w14:paraId="11541D91" w14:textId="7777777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Golf Course:</w:t>
            </w:r>
          </w:p>
          <w:p w14:paraId="62FF0A7B" w14:textId="1675BF43" w:rsidR="004E22A9" w:rsidRPr="00CA69BC" w:rsidRDefault="004E22A9" w:rsidP="007246D2">
            <w:pPr>
              <w:spacing w:line="240" w:lineRule="exact"/>
              <w:rPr>
                <w:color w:val="262626" w:themeColor="text1" w:themeTint="D9"/>
                <w:sz w:val="20"/>
                <w:szCs w:val="20"/>
              </w:rPr>
            </w:pPr>
            <w:r w:rsidRPr="00CA69BC">
              <w:rPr>
                <w:rFonts w:cstheme="minorHAnsi"/>
                <w:color w:val="141414"/>
                <w:sz w:val="20"/>
                <w:szCs w:val="20"/>
              </w:rPr>
              <w:t>Includes the greenways, sand traps, water bodies within the course, associated buildings</w:t>
            </w:r>
            <w:r w:rsidR="00514429" w:rsidRPr="00CA69BC">
              <w:rPr>
                <w:rFonts w:cstheme="minorHAnsi"/>
                <w:color w:val="141414"/>
                <w:sz w:val="20"/>
                <w:szCs w:val="20"/>
              </w:rPr>
              <w:t>,</w:t>
            </w:r>
            <w:r w:rsidRPr="00CA69BC">
              <w:rPr>
                <w:rFonts w:cstheme="minorHAnsi"/>
                <w:color w:val="141414"/>
                <w:sz w:val="20"/>
                <w:szCs w:val="20"/>
              </w:rPr>
              <w:t xml:space="preserve"> and parking lots.</w:t>
            </w:r>
          </w:p>
        </w:tc>
        <w:tc>
          <w:tcPr>
            <w:tcW w:w="1260" w:type="dxa"/>
            <w:vAlign w:val="center"/>
          </w:tcPr>
          <w:p w14:paraId="6D420379" w14:textId="31EE7985" w:rsidR="004E22A9" w:rsidRPr="00CA69BC" w:rsidRDefault="004E22A9" w:rsidP="007279D5">
            <w:pPr>
              <w:jc w:val="center"/>
              <w:rPr>
                <w:color w:val="000000" w:themeColor="text1"/>
                <w:sz w:val="20"/>
                <w:szCs w:val="20"/>
              </w:rPr>
            </w:pPr>
            <w:r w:rsidRPr="00CA69BC">
              <w:rPr>
                <w:color w:val="000000" w:themeColor="text1"/>
                <w:sz w:val="20"/>
                <w:szCs w:val="20"/>
              </w:rPr>
              <w:t>383.</w:t>
            </w:r>
            <w:r w:rsidR="000747C3">
              <w:rPr>
                <w:color w:val="000000" w:themeColor="text1"/>
                <w:sz w:val="20"/>
                <w:szCs w:val="20"/>
              </w:rPr>
              <w:t>8</w:t>
            </w:r>
          </w:p>
        </w:tc>
      </w:tr>
      <w:tr w:rsidR="004E22A9" w:rsidRPr="00F6680F" w14:paraId="74C43CF2" w14:textId="77777777" w:rsidTr="005D4760">
        <w:trPr>
          <w:trHeight w:val="288"/>
          <w:jc w:val="center"/>
        </w:trPr>
        <w:tc>
          <w:tcPr>
            <w:tcW w:w="1463" w:type="dxa"/>
            <w:vMerge/>
          </w:tcPr>
          <w:p w14:paraId="08479575" w14:textId="77777777" w:rsidR="004E22A9" w:rsidRPr="00CA69BC" w:rsidRDefault="004E22A9" w:rsidP="00E376B3">
            <w:pPr>
              <w:jc w:val="center"/>
              <w:rPr>
                <w:sz w:val="20"/>
                <w:szCs w:val="20"/>
              </w:rPr>
            </w:pPr>
          </w:p>
        </w:tc>
        <w:tc>
          <w:tcPr>
            <w:tcW w:w="6632" w:type="dxa"/>
            <w:vAlign w:val="center"/>
          </w:tcPr>
          <w:p w14:paraId="7943F6E6" w14:textId="37757A2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Saltwater Sandy Beach</w:t>
            </w:r>
          </w:p>
        </w:tc>
        <w:tc>
          <w:tcPr>
            <w:tcW w:w="1260" w:type="dxa"/>
            <w:vAlign w:val="center"/>
          </w:tcPr>
          <w:p w14:paraId="3F63DA8E" w14:textId="24B89F30" w:rsidR="004E22A9" w:rsidRPr="00CA69BC" w:rsidRDefault="004E22A9" w:rsidP="007279D5">
            <w:pPr>
              <w:jc w:val="center"/>
              <w:rPr>
                <w:color w:val="000000" w:themeColor="text1"/>
                <w:sz w:val="20"/>
                <w:szCs w:val="20"/>
              </w:rPr>
            </w:pPr>
            <w:r w:rsidRPr="00CA69BC">
              <w:rPr>
                <w:color w:val="000000" w:themeColor="text1"/>
                <w:sz w:val="20"/>
                <w:szCs w:val="20"/>
              </w:rPr>
              <w:t>131.</w:t>
            </w:r>
            <w:r w:rsidR="000747C3">
              <w:rPr>
                <w:color w:val="000000" w:themeColor="text1"/>
                <w:sz w:val="20"/>
                <w:szCs w:val="20"/>
              </w:rPr>
              <w:t>6</w:t>
            </w:r>
          </w:p>
        </w:tc>
      </w:tr>
      <w:tr w:rsidR="004E22A9" w:rsidRPr="00F6680F" w14:paraId="0901D31C" w14:textId="77777777" w:rsidTr="00E376B3">
        <w:trPr>
          <w:trHeight w:val="288"/>
          <w:jc w:val="center"/>
        </w:trPr>
        <w:tc>
          <w:tcPr>
            <w:tcW w:w="1463" w:type="dxa"/>
            <w:vMerge/>
          </w:tcPr>
          <w:p w14:paraId="524C5BC0" w14:textId="77777777" w:rsidR="004E22A9" w:rsidRPr="00CA69BC" w:rsidRDefault="004E22A9" w:rsidP="00E376B3">
            <w:pPr>
              <w:jc w:val="center"/>
              <w:rPr>
                <w:sz w:val="20"/>
                <w:szCs w:val="20"/>
              </w:rPr>
            </w:pPr>
          </w:p>
        </w:tc>
        <w:tc>
          <w:tcPr>
            <w:tcW w:w="6632" w:type="dxa"/>
            <w:shd w:val="clear" w:color="auto" w:fill="F2F2F2" w:themeFill="background1" w:themeFillShade="F2"/>
            <w:vAlign w:val="center"/>
          </w:tcPr>
          <w:p w14:paraId="5668B39C" w14:textId="05EE2EF2" w:rsidR="004E22A9" w:rsidRPr="00CA69BC" w:rsidRDefault="004E22A9" w:rsidP="007246D2">
            <w:pPr>
              <w:spacing w:line="240" w:lineRule="exact"/>
              <w:rPr>
                <w:b/>
                <w:bCs/>
                <w:color w:val="262626" w:themeColor="text1" w:themeTint="D9"/>
                <w:sz w:val="20"/>
                <w:szCs w:val="20"/>
              </w:rPr>
            </w:pPr>
            <w:r w:rsidRPr="00CA69BC">
              <w:rPr>
                <w:b/>
                <w:bCs/>
                <w:color w:val="262626" w:themeColor="text1" w:themeTint="D9"/>
                <w:sz w:val="20"/>
                <w:szCs w:val="20"/>
              </w:rPr>
              <w:t xml:space="preserve">Total </w:t>
            </w:r>
            <w:r w:rsidRPr="00CA69BC">
              <w:rPr>
                <w:b/>
                <w:bCs/>
                <w:color w:val="000000" w:themeColor="text1"/>
                <w:sz w:val="20"/>
                <w:szCs w:val="20"/>
              </w:rPr>
              <w:t>Recreation &amp; Public Space</w:t>
            </w:r>
          </w:p>
        </w:tc>
        <w:tc>
          <w:tcPr>
            <w:tcW w:w="1260" w:type="dxa"/>
            <w:shd w:val="clear" w:color="auto" w:fill="F2F2F2" w:themeFill="background1" w:themeFillShade="F2"/>
            <w:vAlign w:val="center"/>
          </w:tcPr>
          <w:p w14:paraId="09BF3FDE" w14:textId="59BFACEF" w:rsidR="004E22A9" w:rsidRPr="00CA69BC" w:rsidRDefault="004E22A9" w:rsidP="00514429">
            <w:pPr>
              <w:jc w:val="center"/>
              <w:rPr>
                <w:b/>
                <w:bCs/>
                <w:color w:val="000000" w:themeColor="text1"/>
                <w:sz w:val="20"/>
                <w:szCs w:val="20"/>
              </w:rPr>
            </w:pPr>
            <w:r w:rsidRPr="00CA69BC">
              <w:rPr>
                <w:b/>
                <w:bCs/>
                <w:color w:val="000000" w:themeColor="text1"/>
                <w:sz w:val="20"/>
                <w:szCs w:val="20"/>
              </w:rPr>
              <w:t>868.</w:t>
            </w:r>
            <w:r w:rsidR="000747C3">
              <w:rPr>
                <w:b/>
                <w:bCs/>
                <w:color w:val="000000" w:themeColor="text1"/>
                <w:sz w:val="20"/>
                <w:szCs w:val="20"/>
              </w:rPr>
              <w:t>8</w:t>
            </w:r>
          </w:p>
        </w:tc>
      </w:tr>
      <w:tr w:rsidR="004E22A9" w:rsidRPr="00F6680F" w14:paraId="74FF1DD7" w14:textId="77777777" w:rsidTr="005D4760">
        <w:trPr>
          <w:trHeight w:val="288"/>
          <w:jc w:val="center"/>
        </w:trPr>
        <w:tc>
          <w:tcPr>
            <w:tcW w:w="1463" w:type="dxa"/>
            <w:vMerge w:val="restart"/>
            <w:vAlign w:val="center"/>
          </w:tcPr>
          <w:p w14:paraId="260C9A23" w14:textId="77777777" w:rsidR="004E22A9" w:rsidRPr="00CA69BC" w:rsidRDefault="004E22A9" w:rsidP="00E376B3">
            <w:pPr>
              <w:jc w:val="center"/>
              <w:rPr>
                <w:sz w:val="20"/>
                <w:szCs w:val="20"/>
              </w:rPr>
            </w:pPr>
            <w:r w:rsidRPr="00CA69BC">
              <w:rPr>
                <w:color w:val="000000" w:themeColor="text1"/>
                <w:sz w:val="20"/>
                <w:szCs w:val="20"/>
              </w:rPr>
              <w:t>Residential</w:t>
            </w:r>
          </w:p>
        </w:tc>
        <w:tc>
          <w:tcPr>
            <w:tcW w:w="6632" w:type="dxa"/>
            <w:vAlign w:val="center"/>
          </w:tcPr>
          <w:p w14:paraId="30E1FD88" w14:textId="671ECF10"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Very Low</w:t>
            </w:r>
            <w:r w:rsidR="00514429" w:rsidRPr="00CA69BC">
              <w:rPr>
                <w:color w:val="262626" w:themeColor="text1" w:themeTint="D9"/>
                <w:sz w:val="20"/>
                <w:szCs w:val="20"/>
              </w:rPr>
              <w:t>-</w:t>
            </w:r>
            <w:r w:rsidRPr="00CA69BC">
              <w:rPr>
                <w:color w:val="262626" w:themeColor="text1" w:themeTint="D9"/>
                <w:sz w:val="20"/>
                <w:szCs w:val="20"/>
              </w:rPr>
              <w:t>Density Residential:</w:t>
            </w:r>
          </w:p>
          <w:p w14:paraId="68C80F57" w14:textId="77777777" w:rsidR="004E22A9" w:rsidRPr="00CA69BC" w:rsidRDefault="004E22A9" w:rsidP="007246D2">
            <w:pPr>
              <w:spacing w:line="240" w:lineRule="exact"/>
              <w:rPr>
                <w:b/>
                <w:bCs/>
                <w:color w:val="262626" w:themeColor="text1" w:themeTint="D9"/>
                <w:sz w:val="20"/>
                <w:szCs w:val="20"/>
              </w:rPr>
            </w:pPr>
            <w:r w:rsidRPr="00CA69BC">
              <w:rPr>
                <w:rFonts w:cs="Noto Sans"/>
                <w:color w:val="141414"/>
                <w:sz w:val="20"/>
                <w:szCs w:val="20"/>
              </w:rPr>
              <w:t xml:space="preserve">Housing on &gt; 1 acre lots and very remote, rural housing. </w:t>
            </w:r>
          </w:p>
        </w:tc>
        <w:tc>
          <w:tcPr>
            <w:tcW w:w="1260" w:type="dxa"/>
            <w:vAlign w:val="center"/>
          </w:tcPr>
          <w:p w14:paraId="5E015AA4" w14:textId="295A2504" w:rsidR="004E22A9" w:rsidRPr="00CA69BC" w:rsidRDefault="004E22A9" w:rsidP="00486EC8">
            <w:pPr>
              <w:jc w:val="center"/>
              <w:rPr>
                <w:color w:val="000000" w:themeColor="text1"/>
                <w:sz w:val="20"/>
                <w:szCs w:val="20"/>
              </w:rPr>
            </w:pPr>
            <w:r w:rsidRPr="00CA69BC">
              <w:rPr>
                <w:color w:val="000000" w:themeColor="text1"/>
                <w:sz w:val="20"/>
                <w:szCs w:val="20"/>
              </w:rPr>
              <w:t>146.</w:t>
            </w:r>
            <w:r w:rsidR="000747C3">
              <w:rPr>
                <w:color w:val="000000" w:themeColor="text1"/>
                <w:sz w:val="20"/>
                <w:szCs w:val="20"/>
              </w:rPr>
              <w:t>5</w:t>
            </w:r>
          </w:p>
        </w:tc>
      </w:tr>
      <w:tr w:rsidR="004E22A9" w:rsidRPr="00F6680F" w14:paraId="0F87DC20" w14:textId="77777777" w:rsidTr="005D4760">
        <w:trPr>
          <w:trHeight w:val="288"/>
          <w:jc w:val="center"/>
        </w:trPr>
        <w:tc>
          <w:tcPr>
            <w:tcW w:w="1463" w:type="dxa"/>
            <w:vMerge/>
            <w:vAlign w:val="center"/>
          </w:tcPr>
          <w:p w14:paraId="7A28C041" w14:textId="77777777" w:rsidR="004E22A9" w:rsidRPr="00CA69BC" w:rsidRDefault="004E22A9" w:rsidP="00E376B3">
            <w:pPr>
              <w:jc w:val="center"/>
              <w:rPr>
                <w:color w:val="000000" w:themeColor="text1"/>
                <w:sz w:val="20"/>
                <w:szCs w:val="20"/>
              </w:rPr>
            </w:pPr>
          </w:p>
        </w:tc>
        <w:tc>
          <w:tcPr>
            <w:tcW w:w="6632" w:type="dxa"/>
            <w:vAlign w:val="center"/>
          </w:tcPr>
          <w:p w14:paraId="13A5BC61" w14:textId="5ADF18E6" w:rsidR="004E22A9" w:rsidRPr="00CA69BC" w:rsidRDefault="004E22A9" w:rsidP="007246D2">
            <w:pPr>
              <w:spacing w:line="240" w:lineRule="exact"/>
              <w:rPr>
                <w:b/>
                <w:bCs/>
                <w:color w:val="262626" w:themeColor="text1" w:themeTint="D9"/>
                <w:sz w:val="20"/>
                <w:szCs w:val="20"/>
              </w:rPr>
            </w:pPr>
            <w:r w:rsidRPr="00CA69BC">
              <w:rPr>
                <w:color w:val="262626" w:themeColor="text1" w:themeTint="D9"/>
                <w:sz w:val="20"/>
                <w:szCs w:val="20"/>
              </w:rPr>
              <w:t>Low</w:t>
            </w:r>
            <w:r w:rsidR="00514429" w:rsidRPr="00CA69BC">
              <w:rPr>
                <w:color w:val="262626" w:themeColor="text1" w:themeTint="D9"/>
                <w:sz w:val="20"/>
                <w:szCs w:val="20"/>
              </w:rPr>
              <w:t>-</w:t>
            </w:r>
            <w:r w:rsidRPr="00CA69BC">
              <w:rPr>
                <w:color w:val="262626" w:themeColor="text1" w:themeTint="D9"/>
                <w:sz w:val="20"/>
                <w:szCs w:val="20"/>
              </w:rPr>
              <w:t>Density Residential:</w:t>
            </w:r>
            <w:r w:rsidRPr="00E376B3">
              <w:rPr>
                <w:rFonts w:cs="Noto Sans"/>
                <w:color w:val="141414"/>
                <w:sz w:val="20"/>
                <w:szCs w:val="20"/>
              </w:rPr>
              <w:br/>
            </w:r>
            <w:r w:rsidRPr="00CA69BC">
              <w:rPr>
                <w:rFonts w:cs="Noto Sans"/>
                <w:color w:val="141414"/>
                <w:sz w:val="20"/>
                <w:szCs w:val="20"/>
              </w:rPr>
              <w:t xml:space="preserve">Housing on 1/2 - 1 acre lots. </w:t>
            </w:r>
          </w:p>
        </w:tc>
        <w:tc>
          <w:tcPr>
            <w:tcW w:w="1260" w:type="dxa"/>
            <w:vAlign w:val="center"/>
          </w:tcPr>
          <w:p w14:paraId="5838A111" w14:textId="024ADC47" w:rsidR="004E22A9" w:rsidRPr="00CA69BC" w:rsidRDefault="004E22A9" w:rsidP="00486EC8">
            <w:pPr>
              <w:jc w:val="center"/>
              <w:rPr>
                <w:color w:val="000000" w:themeColor="text1"/>
                <w:sz w:val="20"/>
                <w:szCs w:val="20"/>
              </w:rPr>
            </w:pPr>
            <w:r w:rsidRPr="00CA69BC">
              <w:rPr>
                <w:color w:val="000000" w:themeColor="text1"/>
                <w:sz w:val="20"/>
                <w:szCs w:val="20"/>
              </w:rPr>
              <w:t>723.3</w:t>
            </w:r>
          </w:p>
        </w:tc>
      </w:tr>
      <w:tr w:rsidR="004E22A9" w:rsidRPr="00F6680F" w14:paraId="7E2A656C" w14:textId="77777777" w:rsidTr="005D4760">
        <w:trPr>
          <w:trHeight w:val="288"/>
          <w:jc w:val="center"/>
        </w:trPr>
        <w:tc>
          <w:tcPr>
            <w:tcW w:w="1463" w:type="dxa"/>
            <w:vMerge/>
            <w:vAlign w:val="center"/>
          </w:tcPr>
          <w:p w14:paraId="6A146E05" w14:textId="77777777" w:rsidR="004E22A9" w:rsidRPr="00CA69BC" w:rsidRDefault="004E22A9" w:rsidP="00E376B3">
            <w:pPr>
              <w:jc w:val="center"/>
              <w:rPr>
                <w:color w:val="000000" w:themeColor="text1"/>
                <w:sz w:val="20"/>
                <w:szCs w:val="20"/>
              </w:rPr>
            </w:pPr>
          </w:p>
        </w:tc>
        <w:tc>
          <w:tcPr>
            <w:tcW w:w="6632" w:type="dxa"/>
            <w:vAlign w:val="center"/>
          </w:tcPr>
          <w:p w14:paraId="6A0EF806" w14:textId="7777777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Medium Density Residential:</w:t>
            </w:r>
          </w:p>
          <w:p w14:paraId="5B4DDB04" w14:textId="77777777" w:rsidR="004E22A9" w:rsidRPr="00CA69BC" w:rsidRDefault="004E22A9" w:rsidP="007246D2">
            <w:pPr>
              <w:spacing w:line="240" w:lineRule="exact"/>
              <w:rPr>
                <w:b/>
                <w:bCs/>
                <w:color w:val="262626" w:themeColor="text1" w:themeTint="D9"/>
                <w:sz w:val="20"/>
                <w:szCs w:val="20"/>
              </w:rPr>
            </w:pPr>
            <w:r w:rsidRPr="00CA69BC">
              <w:rPr>
                <w:rFonts w:cs="Noto Sans"/>
                <w:color w:val="141414"/>
                <w:sz w:val="20"/>
                <w:szCs w:val="20"/>
              </w:rPr>
              <w:t xml:space="preserve">Housing on 1/4 - 1/2 acre lots. </w:t>
            </w:r>
          </w:p>
        </w:tc>
        <w:tc>
          <w:tcPr>
            <w:tcW w:w="1260" w:type="dxa"/>
            <w:vAlign w:val="center"/>
          </w:tcPr>
          <w:p w14:paraId="54D80450" w14:textId="0CF150C2" w:rsidR="004E22A9" w:rsidRPr="00CA69BC" w:rsidRDefault="004E22A9" w:rsidP="00486EC8">
            <w:pPr>
              <w:jc w:val="center"/>
              <w:rPr>
                <w:color w:val="000000" w:themeColor="text1"/>
                <w:sz w:val="20"/>
                <w:szCs w:val="20"/>
              </w:rPr>
            </w:pPr>
            <w:r w:rsidRPr="00CA69BC">
              <w:rPr>
                <w:color w:val="000000" w:themeColor="text1"/>
                <w:sz w:val="20"/>
                <w:szCs w:val="20"/>
              </w:rPr>
              <w:t>1</w:t>
            </w:r>
            <w:r w:rsidR="00514429" w:rsidRPr="00CA69BC">
              <w:rPr>
                <w:color w:val="000000" w:themeColor="text1"/>
                <w:sz w:val="20"/>
                <w:szCs w:val="20"/>
              </w:rPr>
              <w:t>,</w:t>
            </w:r>
            <w:r w:rsidRPr="00CA69BC">
              <w:rPr>
                <w:color w:val="000000" w:themeColor="text1"/>
                <w:sz w:val="20"/>
                <w:szCs w:val="20"/>
              </w:rPr>
              <w:t>345.</w:t>
            </w:r>
            <w:r w:rsidR="000747C3">
              <w:rPr>
                <w:color w:val="000000" w:themeColor="text1"/>
                <w:sz w:val="20"/>
                <w:szCs w:val="20"/>
              </w:rPr>
              <w:t>9</w:t>
            </w:r>
          </w:p>
        </w:tc>
      </w:tr>
      <w:tr w:rsidR="004E22A9" w:rsidRPr="00F6680F" w14:paraId="0D424B71" w14:textId="77777777" w:rsidTr="005D4760">
        <w:trPr>
          <w:trHeight w:val="288"/>
          <w:jc w:val="center"/>
        </w:trPr>
        <w:tc>
          <w:tcPr>
            <w:tcW w:w="1463" w:type="dxa"/>
            <w:vMerge/>
            <w:vAlign w:val="center"/>
          </w:tcPr>
          <w:p w14:paraId="3B81E3CF" w14:textId="77777777" w:rsidR="004E22A9" w:rsidRPr="00CA69BC" w:rsidRDefault="004E22A9" w:rsidP="00E376B3">
            <w:pPr>
              <w:jc w:val="center"/>
              <w:rPr>
                <w:color w:val="000000" w:themeColor="text1"/>
                <w:sz w:val="20"/>
                <w:szCs w:val="20"/>
              </w:rPr>
            </w:pPr>
          </w:p>
        </w:tc>
        <w:tc>
          <w:tcPr>
            <w:tcW w:w="6632" w:type="dxa"/>
            <w:vAlign w:val="center"/>
          </w:tcPr>
          <w:p w14:paraId="777111E3" w14:textId="780BCFA9"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High</w:t>
            </w:r>
            <w:r w:rsidR="00514429" w:rsidRPr="00CA69BC">
              <w:rPr>
                <w:color w:val="262626" w:themeColor="text1" w:themeTint="D9"/>
                <w:sz w:val="20"/>
                <w:szCs w:val="20"/>
              </w:rPr>
              <w:t>-</w:t>
            </w:r>
            <w:r w:rsidRPr="00CA69BC">
              <w:rPr>
                <w:color w:val="262626" w:themeColor="text1" w:themeTint="D9"/>
                <w:sz w:val="20"/>
                <w:szCs w:val="20"/>
              </w:rPr>
              <w:t>Density Residential:</w:t>
            </w:r>
          </w:p>
          <w:p w14:paraId="47C836EA" w14:textId="77777777" w:rsidR="004E22A9" w:rsidRPr="00CA69BC" w:rsidRDefault="004E22A9" w:rsidP="007246D2">
            <w:pPr>
              <w:spacing w:line="240" w:lineRule="exact"/>
              <w:rPr>
                <w:color w:val="262626" w:themeColor="text1" w:themeTint="D9"/>
                <w:sz w:val="20"/>
                <w:szCs w:val="20"/>
              </w:rPr>
            </w:pPr>
            <w:r w:rsidRPr="00CA69BC">
              <w:rPr>
                <w:rFonts w:cs="Noto Sans"/>
                <w:color w:val="141414"/>
                <w:sz w:val="20"/>
                <w:szCs w:val="20"/>
              </w:rPr>
              <w:t>Housing on smaller than 1/4 acre lots.</w:t>
            </w:r>
          </w:p>
        </w:tc>
        <w:tc>
          <w:tcPr>
            <w:tcW w:w="1260" w:type="dxa"/>
            <w:vAlign w:val="center"/>
          </w:tcPr>
          <w:p w14:paraId="66EF815A" w14:textId="20B3E877" w:rsidR="004E22A9" w:rsidRPr="00CA69BC" w:rsidRDefault="004E22A9" w:rsidP="00486EC8">
            <w:pPr>
              <w:jc w:val="center"/>
              <w:rPr>
                <w:rFonts w:cstheme="minorHAnsi"/>
                <w:sz w:val="20"/>
                <w:szCs w:val="20"/>
              </w:rPr>
            </w:pPr>
            <w:r w:rsidRPr="00CA69BC">
              <w:rPr>
                <w:rFonts w:cstheme="minorHAnsi"/>
                <w:sz w:val="20"/>
                <w:szCs w:val="20"/>
              </w:rPr>
              <w:t>559.7</w:t>
            </w:r>
          </w:p>
        </w:tc>
      </w:tr>
      <w:tr w:rsidR="004E22A9" w:rsidRPr="00F6680F" w14:paraId="1231D1E6" w14:textId="77777777" w:rsidTr="005D4760">
        <w:trPr>
          <w:trHeight w:val="288"/>
          <w:jc w:val="center"/>
        </w:trPr>
        <w:tc>
          <w:tcPr>
            <w:tcW w:w="1463" w:type="dxa"/>
            <w:vMerge/>
            <w:vAlign w:val="center"/>
          </w:tcPr>
          <w:p w14:paraId="4354D730" w14:textId="77777777" w:rsidR="004E22A9" w:rsidRPr="00CA69BC" w:rsidRDefault="004E22A9" w:rsidP="00E376B3">
            <w:pPr>
              <w:jc w:val="center"/>
              <w:rPr>
                <w:color w:val="000000" w:themeColor="text1"/>
                <w:sz w:val="20"/>
                <w:szCs w:val="20"/>
              </w:rPr>
            </w:pPr>
          </w:p>
        </w:tc>
        <w:tc>
          <w:tcPr>
            <w:tcW w:w="6632" w:type="dxa"/>
            <w:vAlign w:val="center"/>
          </w:tcPr>
          <w:p w14:paraId="52BE35F5" w14:textId="7777777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Multi-Family Residential:</w:t>
            </w:r>
          </w:p>
          <w:p w14:paraId="6628DF41" w14:textId="782A83F9" w:rsidR="004E22A9" w:rsidRPr="00CA69BC" w:rsidRDefault="004E22A9" w:rsidP="007246D2">
            <w:pPr>
              <w:spacing w:line="240" w:lineRule="exact"/>
              <w:rPr>
                <w:color w:val="262626" w:themeColor="text1" w:themeTint="D9"/>
                <w:sz w:val="20"/>
                <w:szCs w:val="20"/>
              </w:rPr>
            </w:pPr>
            <w:r w:rsidRPr="00CA69BC">
              <w:rPr>
                <w:rFonts w:cs="Noto Sans"/>
                <w:color w:val="141414"/>
                <w:sz w:val="20"/>
                <w:szCs w:val="20"/>
              </w:rPr>
              <w:t>Duplexes (usually with two front doors, two entrance pathways, and sometimes two driveways), apartment buildings, condominium complexes, including buildings</w:t>
            </w:r>
            <w:r w:rsidR="00514429" w:rsidRPr="00CA69BC">
              <w:rPr>
                <w:rFonts w:cs="Noto Sans"/>
                <w:color w:val="141414"/>
                <w:sz w:val="20"/>
                <w:szCs w:val="20"/>
              </w:rPr>
              <w:t>,</w:t>
            </w:r>
            <w:r w:rsidRPr="00CA69BC">
              <w:rPr>
                <w:rFonts w:cs="Noto Sans"/>
                <w:color w:val="141414"/>
                <w:sz w:val="20"/>
                <w:szCs w:val="20"/>
              </w:rPr>
              <w:t xml:space="preserve"> and maintained lawns.</w:t>
            </w:r>
          </w:p>
        </w:tc>
        <w:tc>
          <w:tcPr>
            <w:tcW w:w="1260" w:type="dxa"/>
            <w:vAlign w:val="center"/>
          </w:tcPr>
          <w:p w14:paraId="4909A5FE" w14:textId="30E9DA5D" w:rsidR="004E22A9" w:rsidRPr="00CA69BC" w:rsidRDefault="004E22A9" w:rsidP="00486EC8">
            <w:pPr>
              <w:jc w:val="center"/>
              <w:rPr>
                <w:rFonts w:cstheme="minorHAnsi"/>
                <w:sz w:val="20"/>
                <w:szCs w:val="20"/>
              </w:rPr>
            </w:pPr>
            <w:r w:rsidRPr="00CA69BC">
              <w:rPr>
                <w:rFonts w:cstheme="minorHAnsi"/>
                <w:sz w:val="20"/>
                <w:szCs w:val="20"/>
              </w:rPr>
              <w:t>423.</w:t>
            </w:r>
            <w:r w:rsidR="000747C3">
              <w:rPr>
                <w:rFonts w:cstheme="minorHAnsi"/>
                <w:sz w:val="20"/>
                <w:szCs w:val="20"/>
              </w:rPr>
              <w:t>6</w:t>
            </w:r>
          </w:p>
        </w:tc>
      </w:tr>
      <w:tr w:rsidR="004E22A9" w:rsidRPr="00F6680F" w14:paraId="05096211" w14:textId="77777777" w:rsidTr="00E376B3">
        <w:trPr>
          <w:trHeight w:val="288"/>
          <w:jc w:val="center"/>
        </w:trPr>
        <w:tc>
          <w:tcPr>
            <w:tcW w:w="1463" w:type="dxa"/>
            <w:vMerge/>
            <w:vAlign w:val="center"/>
          </w:tcPr>
          <w:p w14:paraId="1C4E291E" w14:textId="77777777" w:rsidR="004E22A9" w:rsidRPr="00CA69BC" w:rsidRDefault="004E22A9" w:rsidP="00E376B3">
            <w:pPr>
              <w:jc w:val="center"/>
              <w:rPr>
                <w:color w:val="000000" w:themeColor="text1"/>
                <w:sz w:val="20"/>
                <w:szCs w:val="20"/>
              </w:rPr>
            </w:pPr>
          </w:p>
        </w:tc>
        <w:tc>
          <w:tcPr>
            <w:tcW w:w="6632" w:type="dxa"/>
            <w:shd w:val="clear" w:color="auto" w:fill="F2F2F2" w:themeFill="background1" w:themeFillShade="F2"/>
            <w:vAlign w:val="center"/>
          </w:tcPr>
          <w:p w14:paraId="7D8C1F17" w14:textId="2DF4A97D" w:rsidR="004E22A9" w:rsidRPr="00CA69BC" w:rsidRDefault="004E22A9" w:rsidP="007246D2">
            <w:pPr>
              <w:spacing w:line="240" w:lineRule="exact"/>
              <w:rPr>
                <w:b/>
                <w:bCs/>
                <w:color w:val="262626" w:themeColor="text1" w:themeTint="D9"/>
                <w:sz w:val="20"/>
                <w:szCs w:val="20"/>
              </w:rPr>
            </w:pPr>
            <w:r w:rsidRPr="00CA69BC">
              <w:rPr>
                <w:b/>
                <w:bCs/>
                <w:color w:val="262626" w:themeColor="text1" w:themeTint="D9"/>
                <w:sz w:val="20"/>
                <w:szCs w:val="20"/>
              </w:rPr>
              <w:t>Total Residential</w:t>
            </w:r>
          </w:p>
        </w:tc>
        <w:tc>
          <w:tcPr>
            <w:tcW w:w="1260" w:type="dxa"/>
            <w:shd w:val="clear" w:color="auto" w:fill="F2F2F2" w:themeFill="background1" w:themeFillShade="F2"/>
            <w:vAlign w:val="center"/>
          </w:tcPr>
          <w:p w14:paraId="0391A23B" w14:textId="166AF4C5" w:rsidR="004E22A9" w:rsidRPr="00CA69BC" w:rsidRDefault="004E22A9" w:rsidP="00514429">
            <w:pPr>
              <w:jc w:val="center"/>
              <w:rPr>
                <w:b/>
                <w:bCs/>
                <w:color w:val="000000" w:themeColor="text1"/>
                <w:sz w:val="20"/>
                <w:szCs w:val="20"/>
              </w:rPr>
            </w:pPr>
            <w:r w:rsidRPr="00CA69BC">
              <w:rPr>
                <w:b/>
                <w:bCs/>
                <w:color w:val="000000" w:themeColor="text1"/>
                <w:sz w:val="20"/>
                <w:szCs w:val="20"/>
              </w:rPr>
              <w:t>3</w:t>
            </w:r>
            <w:r w:rsidR="00514429" w:rsidRPr="00CA69BC">
              <w:rPr>
                <w:b/>
                <w:bCs/>
                <w:color w:val="000000" w:themeColor="text1"/>
                <w:sz w:val="20"/>
                <w:szCs w:val="20"/>
              </w:rPr>
              <w:t>,</w:t>
            </w:r>
            <w:r w:rsidRPr="00CA69BC">
              <w:rPr>
                <w:b/>
                <w:bCs/>
                <w:color w:val="000000" w:themeColor="text1"/>
                <w:sz w:val="20"/>
                <w:szCs w:val="20"/>
              </w:rPr>
              <w:t>19</w:t>
            </w:r>
            <w:r w:rsidR="000747C3">
              <w:rPr>
                <w:b/>
                <w:bCs/>
                <w:color w:val="000000" w:themeColor="text1"/>
                <w:sz w:val="20"/>
                <w:szCs w:val="20"/>
              </w:rPr>
              <w:t>9.0</w:t>
            </w:r>
          </w:p>
        </w:tc>
      </w:tr>
      <w:tr w:rsidR="004E22A9" w:rsidRPr="00F6680F" w14:paraId="6D598E44" w14:textId="77777777" w:rsidTr="005D4760">
        <w:trPr>
          <w:trHeight w:val="288"/>
          <w:jc w:val="center"/>
        </w:trPr>
        <w:tc>
          <w:tcPr>
            <w:tcW w:w="1463" w:type="dxa"/>
            <w:vAlign w:val="center"/>
          </w:tcPr>
          <w:p w14:paraId="5403D53B" w14:textId="77777777" w:rsidR="004E22A9" w:rsidRPr="00CA69BC" w:rsidRDefault="004E22A9" w:rsidP="00E376B3">
            <w:pPr>
              <w:jc w:val="center"/>
              <w:rPr>
                <w:color w:val="000000" w:themeColor="text1"/>
                <w:sz w:val="20"/>
                <w:szCs w:val="20"/>
              </w:rPr>
            </w:pPr>
            <w:r w:rsidRPr="00CA69BC">
              <w:rPr>
                <w:color w:val="000000" w:themeColor="text1"/>
                <w:sz w:val="20"/>
                <w:szCs w:val="20"/>
              </w:rPr>
              <w:t>Commercial</w:t>
            </w:r>
          </w:p>
        </w:tc>
        <w:tc>
          <w:tcPr>
            <w:tcW w:w="6632" w:type="dxa"/>
            <w:shd w:val="clear" w:color="auto" w:fill="auto"/>
            <w:vAlign w:val="center"/>
          </w:tcPr>
          <w:p w14:paraId="60E95472" w14:textId="1215D1C9" w:rsidR="004E22A9" w:rsidRPr="00CA69BC" w:rsidRDefault="004E22A9" w:rsidP="007246D2">
            <w:pPr>
              <w:spacing w:line="240" w:lineRule="exact"/>
              <w:rPr>
                <w:b/>
                <w:bCs/>
                <w:color w:val="262626" w:themeColor="text1" w:themeTint="D9"/>
                <w:sz w:val="20"/>
                <w:szCs w:val="20"/>
              </w:rPr>
            </w:pPr>
            <w:r w:rsidRPr="00CA69BC">
              <w:rPr>
                <w:rFonts w:cs="Noto Sans"/>
                <w:color w:val="141414"/>
                <w:sz w:val="20"/>
                <w:szCs w:val="20"/>
              </w:rPr>
              <w:t>Malls, shopping centers</w:t>
            </w:r>
            <w:r w:rsidR="00514429" w:rsidRPr="00CA69BC">
              <w:rPr>
                <w:rFonts w:cs="Noto Sans"/>
                <w:color w:val="141414"/>
                <w:sz w:val="20"/>
                <w:szCs w:val="20"/>
              </w:rPr>
              <w:t>,</w:t>
            </w:r>
            <w:r w:rsidRPr="00CA69BC">
              <w:rPr>
                <w:rFonts w:cs="Noto Sans"/>
                <w:color w:val="141414"/>
                <w:sz w:val="20"/>
                <w:szCs w:val="20"/>
              </w:rPr>
              <w:t xml:space="preserve"> and larger strip commercial areas, plus neighborhood stores and medical offices (not hospitals).</w:t>
            </w:r>
          </w:p>
        </w:tc>
        <w:tc>
          <w:tcPr>
            <w:tcW w:w="1260" w:type="dxa"/>
            <w:vAlign w:val="center"/>
          </w:tcPr>
          <w:p w14:paraId="725977E5" w14:textId="203CF6A2" w:rsidR="004E22A9" w:rsidRPr="00CA69BC" w:rsidRDefault="004E22A9" w:rsidP="00486EC8">
            <w:pPr>
              <w:jc w:val="center"/>
              <w:rPr>
                <w:color w:val="000000" w:themeColor="text1"/>
                <w:sz w:val="20"/>
                <w:szCs w:val="20"/>
              </w:rPr>
            </w:pPr>
            <w:r w:rsidRPr="00CA69BC">
              <w:rPr>
                <w:color w:val="000000" w:themeColor="text1"/>
                <w:sz w:val="20"/>
                <w:szCs w:val="20"/>
              </w:rPr>
              <w:t>153.2</w:t>
            </w:r>
          </w:p>
        </w:tc>
      </w:tr>
      <w:tr w:rsidR="004E22A9" w:rsidRPr="00F6680F" w14:paraId="034BF360" w14:textId="77777777" w:rsidTr="00E376B3">
        <w:trPr>
          <w:trHeight w:val="288"/>
          <w:jc w:val="center"/>
        </w:trPr>
        <w:tc>
          <w:tcPr>
            <w:tcW w:w="1463" w:type="dxa"/>
            <w:vAlign w:val="center"/>
          </w:tcPr>
          <w:p w14:paraId="1FB3AD22" w14:textId="77777777" w:rsidR="004E22A9" w:rsidRPr="00CA69BC" w:rsidRDefault="004E22A9" w:rsidP="00E376B3">
            <w:pPr>
              <w:pStyle w:val="CommentText"/>
              <w:jc w:val="center"/>
              <w:rPr>
                <w:color w:val="000000" w:themeColor="text1"/>
              </w:rPr>
            </w:pPr>
            <w:r w:rsidRPr="00CA69BC">
              <w:t>Industrial</w:t>
            </w:r>
          </w:p>
        </w:tc>
        <w:tc>
          <w:tcPr>
            <w:tcW w:w="6632" w:type="dxa"/>
            <w:shd w:val="clear" w:color="auto" w:fill="auto"/>
          </w:tcPr>
          <w:p w14:paraId="34519683" w14:textId="6A1DB5E7" w:rsidR="004E22A9" w:rsidRPr="00CA69BC" w:rsidRDefault="004E22A9" w:rsidP="007246D2">
            <w:pPr>
              <w:spacing w:line="240" w:lineRule="exact"/>
              <w:rPr>
                <w:rFonts w:cs="Noto Sans"/>
                <w:color w:val="141414"/>
                <w:sz w:val="20"/>
                <w:szCs w:val="20"/>
              </w:rPr>
            </w:pPr>
            <w:r w:rsidRPr="00CA69BC">
              <w:rPr>
                <w:sz w:val="20"/>
                <w:szCs w:val="20"/>
              </w:rPr>
              <w:t>Light and heavy industry, including buildings, equipment</w:t>
            </w:r>
            <w:r w:rsidR="00514429" w:rsidRPr="00CA69BC">
              <w:rPr>
                <w:sz w:val="20"/>
                <w:szCs w:val="20"/>
              </w:rPr>
              <w:t>,</w:t>
            </w:r>
            <w:r w:rsidRPr="00CA69BC">
              <w:rPr>
                <w:sz w:val="20"/>
                <w:szCs w:val="20"/>
              </w:rPr>
              <w:t xml:space="preserve"> and parking areas. </w:t>
            </w:r>
          </w:p>
        </w:tc>
        <w:tc>
          <w:tcPr>
            <w:tcW w:w="1260" w:type="dxa"/>
            <w:vAlign w:val="center"/>
          </w:tcPr>
          <w:p w14:paraId="39080245" w14:textId="5DCE6480" w:rsidR="004E22A9" w:rsidRPr="00CA69BC" w:rsidRDefault="004E22A9" w:rsidP="000747C3">
            <w:pPr>
              <w:jc w:val="center"/>
              <w:rPr>
                <w:color w:val="000000" w:themeColor="text1"/>
                <w:sz w:val="20"/>
                <w:szCs w:val="20"/>
              </w:rPr>
            </w:pPr>
            <w:r w:rsidRPr="00CA69BC">
              <w:rPr>
                <w:color w:val="000000" w:themeColor="text1"/>
                <w:sz w:val="20"/>
                <w:szCs w:val="20"/>
              </w:rPr>
              <w:t>77.</w:t>
            </w:r>
            <w:r w:rsidR="000747C3">
              <w:rPr>
                <w:color w:val="000000" w:themeColor="text1"/>
                <w:sz w:val="20"/>
                <w:szCs w:val="20"/>
              </w:rPr>
              <w:t>6</w:t>
            </w:r>
          </w:p>
        </w:tc>
      </w:tr>
      <w:tr w:rsidR="004E22A9" w:rsidRPr="00F6680F" w14:paraId="604E789A" w14:textId="77777777" w:rsidTr="005D4760">
        <w:trPr>
          <w:trHeight w:val="288"/>
          <w:jc w:val="center"/>
        </w:trPr>
        <w:tc>
          <w:tcPr>
            <w:tcW w:w="1463" w:type="dxa"/>
            <w:vMerge w:val="restart"/>
            <w:vAlign w:val="center"/>
          </w:tcPr>
          <w:p w14:paraId="13C46958" w14:textId="2D350E1A" w:rsidR="004E22A9" w:rsidRPr="00CA69BC" w:rsidRDefault="004E22A9" w:rsidP="00E376B3">
            <w:pPr>
              <w:jc w:val="center"/>
              <w:rPr>
                <w:color w:val="000000" w:themeColor="text1"/>
                <w:sz w:val="20"/>
                <w:szCs w:val="20"/>
              </w:rPr>
            </w:pPr>
            <w:r w:rsidRPr="00CA69BC">
              <w:rPr>
                <w:color w:val="000000" w:themeColor="text1"/>
                <w:sz w:val="20"/>
                <w:szCs w:val="20"/>
              </w:rPr>
              <w:t>Undeveloped</w:t>
            </w:r>
          </w:p>
        </w:tc>
        <w:tc>
          <w:tcPr>
            <w:tcW w:w="6632" w:type="dxa"/>
            <w:vAlign w:val="center"/>
          </w:tcPr>
          <w:p w14:paraId="2815900C" w14:textId="77777777"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Forest:</w:t>
            </w:r>
          </w:p>
          <w:p w14:paraId="5E43F719" w14:textId="77777777"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Areas where tree canopy covers at least 50% of the land. Both coniferous and deciduous forests belong to this class.</w:t>
            </w:r>
          </w:p>
        </w:tc>
        <w:tc>
          <w:tcPr>
            <w:tcW w:w="1260" w:type="dxa"/>
            <w:vAlign w:val="center"/>
          </w:tcPr>
          <w:p w14:paraId="706B52A5" w14:textId="51F27B2C" w:rsidR="004E22A9" w:rsidRPr="00CA69BC" w:rsidRDefault="004E22A9" w:rsidP="00486EC8">
            <w:pPr>
              <w:jc w:val="center"/>
              <w:rPr>
                <w:rFonts w:cstheme="minorHAnsi"/>
                <w:sz w:val="20"/>
                <w:szCs w:val="20"/>
              </w:rPr>
            </w:pPr>
            <w:r w:rsidRPr="00CA69BC">
              <w:rPr>
                <w:rFonts w:cstheme="minorHAnsi"/>
                <w:sz w:val="20"/>
                <w:szCs w:val="20"/>
              </w:rPr>
              <w:t>8</w:t>
            </w:r>
            <w:r w:rsidR="00514429" w:rsidRPr="00CA69BC">
              <w:rPr>
                <w:rFonts w:cstheme="minorHAnsi"/>
                <w:sz w:val="20"/>
                <w:szCs w:val="20"/>
              </w:rPr>
              <w:t>,</w:t>
            </w:r>
            <w:r w:rsidRPr="00CA69BC">
              <w:rPr>
                <w:rFonts w:cstheme="minorHAnsi"/>
                <w:sz w:val="20"/>
                <w:szCs w:val="20"/>
              </w:rPr>
              <w:t>667.</w:t>
            </w:r>
            <w:r w:rsidR="000747C3">
              <w:rPr>
                <w:rFonts w:cstheme="minorHAnsi"/>
                <w:sz w:val="20"/>
                <w:szCs w:val="20"/>
              </w:rPr>
              <w:t>5</w:t>
            </w:r>
          </w:p>
        </w:tc>
      </w:tr>
      <w:tr w:rsidR="004E22A9" w:rsidRPr="00F6680F" w14:paraId="5E5A0F09" w14:textId="77777777" w:rsidTr="005D4760">
        <w:trPr>
          <w:trHeight w:val="288"/>
          <w:jc w:val="center"/>
        </w:trPr>
        <w:tc>
          <w:tcPr>
            <w:tcW w:w="1463" w:type="dxa"/>
            <w:vMerge/>
          </w:tcPr>
          <w:p w14:paraId="3D75A51B" w14:textId="77777777" w:rsidR="004E22A9" w:rsidRPr="00CA69BC" w:rsidRDefault="004E22A9" w:rsidP="00E376B3">
            <w:pPr>
              <w:jc w:val="center"/>
              <w:rPr>
                <w:color w:val="000000" w:themeColor="text1"/>
                <w:sz w:val="20"/>
                <w:szCs w:val="20"/>
              </w:rPr>
            </w:pPr>
          </w:p>
        </w:tc>
        <w:tc>
          <w:tcPr>
            <w:tcW w:w="6632" w:type="dxa"/>
            <w:vAlign w:val="center"/>
          </w:tcPr>
          <w:p w14:paraId="27CFE2FD" w14:textId="77777777"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Open Land: Vacant land, idle agriculture, rock outcrops, and barren areas.</w:t>
            </w:r>
          </w:p>
        </w:tc>
        <w:tc>
          <w:tcPr>
            <w:tcW w:w="1260" w:type="dxa"/>
            <w:vAlign w:val="center"/>
          </w:tcPr>
          <w:p w14:paraId="6D43D548" w14:textId="5E6C2218" w:rsidR="004E22A9" w:rsidRPr="00CA69BC" w:rsidRDefault="004E22A9" w:rsidP="00486EC8">
            <w:pPr>
              <w:jc w:val="center"/>
              <w:rPr>
                <w:rFonts w:cstheme="minorHAnsi"/>
                <w:sz w:val="20"/>
                <w:szCs w:val="20"/>
              </w:rPr>
            </w:pPr>
            <w:r w:rsidRPr="00CA69BC">
              <w:rPr>
                <w:rFonts w:cstheme="minorHAnsi"/>
                <w:sz w:val="20"/>
                <w:szCs w:val="20"/>
              </w:rPr>
              <w:t>119.</w:t>
            </w:r>
            <w:r w:rsidR="000747C3">
              <w:rPr>
                <w:rFonts w:cstheme="minorHAnsi"/>
                <w:sz w:val="20"/>
                <w:szCs w:val="20"/>
              </w:rPr>
              <w:t>8</w:t>
            </w:r>
          </w:p>
        </w:tc>
      </w:tr>
      <w:tr w:rsidR="004E22A9" w:rsidRPr="00F6680F" w14:paraId="62D7B5E9" w14:textId="77777777" w:rsidTr="005D4760">
        <w:trPr>
          <w:trHeight w:val="288"/>
          <w:jc w:val="center"/>
        </w:trPr>
        <w:tc>
          <w:tcPr>
            <w:tcW w:w="1463" w:type="dxa"/>
            <w:vMerge/>
          </w:tcPr>
          <w:p w14:paraId="3FFFAB0E" w14:textId="77777777" w:rsidR="004E22A9" w:rsidRPr="00CA69BC" w:rsidRDefault="004E22A9" w:rsidP="00E376B3">
            <w:pPr>
              <w:jc w:val="center"/>
              <w:rPr>
                <w:color w:val="000000" w:themeColor="text1"/>
                <w:sz w:val="20"/>
                <w:szCs w:val="20"/>
              </w:rPr>
            </w:pPr>
          </w:p>
        </w:tc>
        <w:tc>
          <w:tcPr>
            <w:tcW w:w="6632" w:type="dxa"/>
            <w:vAlign w:val="center"/>
          </w:tcPr>
          <w:p w14:paraId="3C3BF1A4" w14:textId="77777777"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 xml:space="preserve">Transitional: Open areas in the process of being developed from one land use to another (if the future land use is at all uncertain). </w:t>
            </w:r>
          </w:p>
        </w:tc>
        <w:tc>
          <w:tcPr>
            <w:tcW w:w="1260" w:type="dxa"/>
            <w:vAlign w:val="center"/>
          </w:tcPr>
          <w:p w14:paraId="62B20787" w14:textId="7564EE1F" w:rsidR="004E22A9" w:rsidRPr="00CA69BC" w:rsidRDefault="004E22A9" w:rsidP="00486EC8">
            <w:pPr>
              <w:jc w:val="center"/>
              <w:rPr>
                <w:rFonts w:cstheme="minorHAnsi"/>
                <w:sz w:val="20"/>
                <w:szCs w:val="20"/>
              </w:rPr>
            </w:pPr>
            <w:r w:rsidRPr="00CA69BC">
              <w:rPr>
                <w:rFonts w:cstheme="minorHAnsi"/>
                <w:sz w:val="20"/>
                <w:szCs w:val="20"/>
              </w:rPr>
              <w:t>36.8</w:t>
            </w:r>
          </w:p>
        </w:tc>
      </w:tr>
      <w:tr w:rsidR="004E22A9" w:rsidRPr="00F6680F" w14:paraId="6B778777" w14:textId="77777777" w:rsidTr="005D4760">
        <w:trPr>
          <w:trHeight w:val="288"/>
          <w:jc w:val="center"/>
        </w:trPr>
        <w:tc>
          <w:tcPr>
            <w:tcW w:w="1463" w:type="dxa"/>
            <w:vMerge/>
          </w:tcPr>
          <w:p w14:paraId="086A8CC1" w14:textId="77777777" w:rsidR="004E22A9" w:rsidRPr="00CA69BC" w:rsidRDefault="004E22A9" w:rsidP="00E376B3">
            <w:pPr>
              <w:jc w:val="center"/>
              <w:rPr>
                <w:color w:val="000000" w:themeColor="text1"/>
                <w:sz w:val="20"/>
                <w:szCs w:val="20"/>
              </w:rPr>
            </w:pPr>
          </w:p>
        </w:tc>
        <w:tc>
          <w:tcPr>
            <w:tcW w:w="6632" w:type="dxa"/>
            <w:vAlign w:val="center"/>
          </w:tcPr>
          <w:p w14:paraId="623606A0" w14:textId="77777777" w:rsidR="004E22A9" w:rsidRPr="00CA69BC" w:rsidRDefault="004E22A9" w:rsidP="007246D2">
            <w:pPr>
              <w:spacing w:line="240" w:lineRule="exact"/>
              <w:rPr>
                <w:rFonts w:cs="Noto Sans"/>
                <w:color w:val="141414"/>
                <w:sz w:val="20"/>
                <w:szCs w:val="20"/>
              </w:rPr>
            </w:pPr>
            <w:r w:rsidRPr="00CA69BC">
              <w:rPr>
                <w:color w:val="000000" w:themeColor="text1"/>
                <w:sz w:val="20"/>
                <w:szCs w:val="20"/>
              </w:rPr>
              <w:t>Brushland/Successional:</w:t>
            </w:r>
            <w:r w:rsidRPr="00CA69BC">
              <w:rPr>
                <w:rFonts w:cs="Noto Sans"/>
                <w:color w:val="141414"/>
                <w:sz w:val="20"/>
                <w:szCs w:val="20"/>
              </w:rPr>
              <w:t xml:space="preserve"> Predominantly (&gt; 25%) shrub cover, and some immature trees not large or dense enough to be classified as forest.</w:t>
            </w:r>
          </w:p>
        </w:tc>
        <w:tc>
          <w:tcPr>
            <w:tcW w:w="1260" w:type="dxa"/>
            <w:vAlign w:val="center"/>
          </w:tcPr>
          <w:p w14:paraId="4DA91AD7" w14:textId="3C1021AF" w:rsidR="004E22A9" w:rsidRPr="00CA69BC" w:rsidRDefault="004E22A9" w:rsidP="00486EC8">
            <w:pPr>
              <w:jc w:val="center"/>
              <w:rPr>
                <w:rFonts w:cstheme="minorHAnsi"/>
                <w:sz w:val="20"/>
                <w:szCs w:val="20"/>
              </w:rPr>
            </w:pPr>
            <w:r w:rsidRPr="00CA69BC">
              <w:rPr>
                <w:rFonts w:cstheme="minorHAnsi"/>
                <w:sz w:val="20"/>
                <w:szCs w:val="20"/>
              </w:rPr>
              <w:t>21.</w:t>
            </w:r>
            <w:r w:rsidR="000747C3">
              <w:rPr>
                <w:rFonts w:cstheme="minorHAnsi"/>
                <w:sz w:val="20"/>
                <w:szCs w:val="20"/>
              </w:rPr>
              <w:t>5</w:t>
            </w:r>
          </w:p>
        </w:tc>
      </w:tr>
      <w:tr w:rsidR="004E22A9" w:rsidRPr="00F6680F" w14:paraId="2E92DDE7" w14:textId="77777777" w:rsidTr="005D4760">
        <w:trPr>
          <w:trHeight w:val="288"/>
          <w:jc w:val="center"/>
        </w:trPr>
        <w:tc>
          <w:tcPr>
            <w:tcW w:w="1463" w:type="dxa"/>
            <w:vMerge/>
          </w:tcPr>
          <w:p w14:paraId="3373453E" w14:textId="77777777" w:rsidR="004E22A9" w:rsidRPr="00CA69BC" w:rsidRDefault="004E22A9" w:rsidP="00E376B3">
            <w:pPr>
              <w:jc w:val="center"/>
              <w:rPr>
                <w:color w:val="000000" w:themeColor="text1"/>
                <w:sz w:val="20"/>
                <w:szCs w:val="20"/>
              </w:rPr>
            </w:pPr>
          </w:p>
        </w:tc>
        <w:tc>
          <w:tcPr>
            <w:tcW w:w="6632" w:type="dxa"/>
            <w:vAlign w:val="center"/>
          </w:tcPr>
          <w:p w14:paraId="4B75834F" w14:textId="77777777"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Mining:</w:t>
            </w:r>
          </w:p>
          <w:p w14:paraId="33B28C42" w14:textId="0576C453"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Includes sand and gravel pits, mines</w:t>
            </w:r>
            <w:r w:rsidR="00514429" w:rsidRPr="00CA69BC">
              <w:rPr>
                <w:rFonts w:cs="Noto Sans"/>
                <w:color w:val="141414"/>
                <w:sz w:val="20"/>
                <w:szCs w:val="20"/>
              </w:rPr>
              <w:t>,</w:t>
            </w:r>
            <w:r w:rsidRPr="00CA69BC">
              <w:rPr>
                <w:rFonts w:cs="Noto Sans"/>
                <w:color w:val="141414"/>
                <w:sz w:val="20"/>
                <w:szCs w:val="20"/>
              </w:rPr>
              <w:t xml:space="preserve"> and quarries. The boundaries extend to the edges of the site’s activities, including on-site machinery, parking lots, roads</w:t>
            </w:r>
            <w:r w:rsidR="00514429" w:rsidRPr="00CA69BC">
              <w:rPr>
                <w:rFonts w:cs="Noto Sans"/>
                <w:color w:val="141414"/>
                <w:sz w:val="20"/>
                <w:szCs w:val="20"/>
              </w:rPr>
              <w:t>,</w:t>
            </w:r>
            <w:r w:rsidRPr="00CA69BC">
              <w:rPr>
                <w:rFonts w:cs="Noto Sans"/>
                <w:color w:val="141414"/>
                <w:sz w:val="20"/>
                <w:szCs w:val="20"/>
              </w:rPr>
              <w:t xml:space="preserve"> and buildings.</w:t>
            </w:r>
          </w:p>
        </w:tc>
        <w:tc>
          <w:tcPr>
            <w:tcW w:w="1260" w:type="dxa"/>
            <w:vAlign w:val="center"/>
          </w:tcPr>
          <w:p w14:paraId="63BB96BE" w14:textId="51E90B51" w:rsidR="004E22A9" w:rsidRPr="00CA69BC" w:rsidRDefault="004E22A9" w:rsidP="00486EC8">
            <w:pPr>
              <w:jc w:val="center"/>
              <w:rPr>
                <w:rFonts w:cstheme="minorHAnsi"/>
                <w:sz w:val="20"/>
                <w:szCs w:val="20"/>
              </w:rPr>
            </w:pPr>
            <w:r w:rsidRPr="00CA69BC">
              <w:rPr>
                <w:rFonts w:cstheme="minorHAnsi"/>
                <w:sz w:val="20"/>
                <w:szCs w:val="20"/>
              </w:rPr>
              <w:t>2</w:t>
            </w:r>
            <w:r w:rsidR="000747C3">
              <w:rPr>
                <w:rFonts w:cstheme="minorHAnsi"/>
                <w:sz w:val="20"/>
                <w:szCs w:val="20"/>
              </w:rPr>
              <w:t>7.0</w:t>
            </w:r>
          </w:p>
        </w:tc>
      </w:tr>
      <w:tr w:rsidR="004E22A9" w:rsidRPr="00F6680F" w14:paraId="0E756CDB" w14:textId="77777777" w:rsidTr="005D4760">
        <w:trPr>
          <w:trHeight w:val="288"/>
          <w:jc w:val="center"/>
        </w:trPr>
        <w:tc>
          <w:tcPr>
            <w:tcW w:w="1463" w:type="dxa"/>
            <w:vMerge/>
          </w:tcPr>
          <w:p w14:paraId="6394C681" w14:textId="77777777" w:rsidR="004E22A9" w:rsidRPr="00CA69BC" w:rsidRDefault="004E22A9" w:rsidP="00E376B3">
            <w:pPr>
              <w:jc w:val="center"/>
              <w:rPr>
                <w:color w:val="000000" w:themeColor="text1"/>
                <w:sz w:val="20"/>
                <w:szCs w:val="20"/>
              </w:rPr>
            </w:pPr>
          </w:p>
        </w:tc>
        <w:tc>
          <w:tcPr>
            <w:tcW w:w="6632" w:type="dxa"/>
            <w:vAlign w:val="center"/>
          </w:tcPr>
          <w:p w14:paraId="021378BB" w14:textId="77777777"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Waste Disposal: Landfills, dumps, and water and sewage treatment facilities such as pump houses, and associated parking lots.</w:t>
            </w:r>
          </w:p>
        </w:tc>
        <w:tc>
          <w:tcPr>
            <w:tcW w:w="1260" w:type="dxa"/>
            <w:vAlign w:val="center"/>
          </w:tcPr>
          <w:p w14:paraId="400B5980" w14:textId="74640CF9" w:rsidR="004E22A9" w:rsidRPr="00CA69BC" w:rsidRDefault="004E22A9" w:rsidP="00486EC8">
            <w:pPr>
              <w:jc w:val="center"/>
              <w:rPr>
                <w:rFonts w:cstheme="minorHAnsi"/>
                <w:sz w:val="20"/>
                <w:szCs w:val="20"/>
              </w:rPr>
            </w:pPr>
            <w:r w:rsidRPr="00CA69BC">
              <w:rPr>
                <w:rFonts w:cstheme="minorHAnsi"/>
                <w:sz w:val="20"/>
                <w:szCs w:val="20"/>
              </w:rPr>
              <w:t>14.</w:t>
            </w:r>
            <w:r w:rsidR="000747C3">
              <w:rPr>
                <w:rFonts w:cstheme="minorHAnsi"/>
                <w:sz w:val="20"/>
                <w:szCs w:val="20"/>
              </w:rPr>
              <w:t>3</w:t>
            </w:r>
          </w:p>
        </w:tc>
      </w:tr>
      <w:tr w:rsidR="004E22A9" w:rsidRPr="00F6680F" w14:paraId="75A5D75B" w14:textId="77777777" w:rsidTr="00E376B3">
        <w:trPr>
          <w:trHeight w:val="288"/>
          <w:jc w:val="center"/>
        </w:trPr>
        <w:tc>
          <w:tcPr>
            <w:tcW w:w="1463" w:type="dxa"/>
            <w:vMerge/>
          </w:tcPr>
          <w:p w14:paraId="49DDC082" w14:textId="77777777" w:rsidR="004E22A9" w:rsidRPr="00CA69BC" w:rsidRDefault="004E22A9" w:rsidP="00E376B3">
            <w:pPr>
              <w:jc w:val="center"/>
              <w:rPr>
                <w:color w:val="000000" w:themeColor="text1"/>
                <w:sz w:val="20"/>
                <w:szCs w:val="20"/>
              </w:rPr>
            </w:pPr>
          </w:p>
        </w:tc>
        <w:tc>
          <w:tcPr>
            <w:tcW w:w="6632" w:type="dxa"/>
            <w:shd w:val="clear" w:color="auto" w:fill="F2F2F2" w:themeFill="background1" w:themeFillShade="F2"/>
            <w:vAlign w:val="center"/>
          </w:tcPr>
          <w:p w14:paraId="5B2F28D8" w14:textId="355871E1" w:rsidR="004E22A9" w:rsidRPr="00CA69BC" w:rsidRDefault="004E22A9" w:rsidP="007246D2">
            <w:pPr>
              <w:spacing w:line="240" w:lineRule="exact"/>
              <w:rPr>
                <w:rFonts w:cs="Noto Sans"/>
                <w:color w:val="141414"/>
                <w:sz w:val="20"/>
                <w:szCs w:val="20"/>
              </w:rPr>
            </w:pPr>
            <w:r w:rsidRPr="00CA69BC">
              <w:rPr>
                <w:b/>
                <w:bCs/>
                <w:color w:val="262626" w:themeColor="text1" w:themeTint="D9"/>
                <w:sz w:val="20"/>
                <w:szCs w:val="20"/>
              </w:rPr>
              <w:t>Total Undeveloped</w:t>
            </w:r>
          </w:p>
        </w:tc>
        <w:tc>
          <w:tcPr>
            <w:tcW w:w="1260" w:type="dxa"/>
            <w:shd w:val="clear" w:color="auto" w:fill="F2F2F2" w:themeFill="background1" w:themeFillShade="F2"/>
            <w:vAlign w:val="center"/>
          </w:tcPr>
          <w:p w14:paraId="3B3EDCB5" w14:textId="23A60FF6" w:rsidR="004E22A9" w:rsidRPr="00CA69BC" w:rsidRDefault="004E22A9" w:rsidP="00514429">
            <w:pPr>
              <w:jc w:val="center"/>
              <w:rPr>
                <w:rFonts w:cstheme="minorHAnsi"/>
                <w:b/>
                <w:bCs/>
                <w:sz w:val="20"/>
                <w:szCs w:val="20"/>
              </w:rPr>
            </w:pPr>
            <w:r w:rsidRPr="00CA69BC">
              <w:rPr>
                <w:rFonts w:cstheme="minorHAnsi"/>
                <w:b/>
                <w:bCs/>
                <w:sz w:val="20"/>
                <w:szCs w:val="20"/>
              </w:rPr>
              <w:t>8</w:t>
            </w:r>
            <w:r w:rsidR="00514429" w:rsidRPr="00CA69BC">
              <w:rPr>
                <w:rFonts w:cstheme="minorHAnsi"/>
                <w:b/>
                <w:bCs/>
                <w:sz w:val="20"/>
                <w:szCs w:val="20"/>
              </w:rPr>
              <w:t>,</w:t>
            </w:r>
            <w:r w:rsidRPr="00CA69BC">
              <w:rPr>
                <w:rFonts w:cstheme="minorHAnsi"/>
                <w:b/>
                <w:bCs/>
                <w:sz w:val="20"/>
                <w:szCs w:val="20"/>
              </w:rPr>
              <w:t>886.</w:t>
            </w:r>
            <w:r w:rsidR="000747C3">
              <w:rPr>
                <w:rFonts w:cstheme="minorHAnsi"/>
                <w:b/>
                <w:bCs/>
                <w:sz w:val="20"/>
                <w:szCs w:val="20"/>
              </w:rPr>
              <w:t>9</w:t>
            </w:r>
          </w:p>
        </w:tc>
      </w:tr>
      <w:tr w:rsidR="004E22A9" w:rsidRPr="00F6680F" w14:paraId="743DE463" w14:textId="77777777" w:rsidTr="00E376B3">
        <w:trPr>
          <w:trHeight w:val="288"/>
          <w:jc w:val="center"/>
        </w:trPr>
        <w:tc>
          <w:tcPr>
            <w:tcW w:w="1463" w:type="dxa"/>
            <w:vMerge w:val="restart"/>
            <w:vAlign w:val="center"/>
          </w:tcPr>
          <w:p w14:paraId="7643A276" w14:textId="676ABB95" w:rsidR="004E22A9" w:rsidRPr="00CA69BC" w:rsidRDefault="004E22A9" w:rsidP="00E376B3">
            <w:pPr>
              <w:jc w:val="center"/>
              <w:rPr>
                <w:color w:val="000000" w:themeColor="text1"/>
                <w:sz w:val="20"/>
                <w:szCs w:val="20"/>
              </w:rPr>
            </w:pPr>
            <w:r w:rsidRPr="00CA69BC">
              <w:rPr>
                <w:color w:val="000000" w:themeColor="text1"/>
                <w:sz w:val="20"/>
                <w:szCs w:val="20"/>
              </w:rPr>
              <w:t>Transportation and Utility</w:t>
            </w:r>
          </w:p>
        </w:tc>
        <w:tc>
          <w:tcPr>
            <w:tcW w:w="6632" w:type="dxa"/>
            <w:tcBorders>
              <w:bottom w:val="single" w:sz="4" w:space="0" w:color="auto"/>
            </w:tcBorders>
          </w:tcPr>
          <w:p w14:paraId="273C44F8" w14:textId="77777777" w:rsidR="004E22A9" w:rsidRPr="00CA69BC" w:rsidRDefault="004E22A9" w:rsidP="007246D2">
            <w:pPr>
              <w:spacing w:line="240" w:lineRule="exact"/>
              <w:rPr>
                <w:sz w:val="20"/>
                <w:szCs w:val="20"/>
              </w:rPr>
            </w:pPr>
            <w:r w:rsidRPr="00CA69BC">
              <w:rPr>
                <w:sz w:val="20"/>
                <w:szCs w:val="20"/>
              </w:rPr>
              <w:t xml:space="preserve">Transportation: </w:t>
            </w:r>
          </w:p>
          <w:p w14:paraId="276DF11F" w14:textId="38565023" w:rsidR="004E22A9" w:rsidRPr="00CA69BC" w:rsidRDefault="004E22A9" w:rsidP="007246D2">
            <w:pPr>
              <w:spacing w:line="240" w:lineRule="exact"/>
              <w:rPr>
                <w:b/>
                <w:bCs/>
                <w:color w:val="262626" w:themeColor="text1" w:themeTint="D9"/>
                <w:sz w:val="20"/>
                <w:szCs w:val="20"/>
              </w:rPr>
            </w:pPr>
            <w:r w:rsidRPr="00CA69BC">
              <w:rPr>
                <w:sz w:val="20"/>
                <w:szCs w:val="20"/>
              </w:rPr>
              <w:t>Airports (including landing strips, hangars, parking areas</w:t>
            </w:r>
            <w:r w:rsidR="00514429" w:rsidRPr="00CA69BC">
              <w:rPr>
                <w:sz w:val="20"/>
                <w:szCs w:val="20"/>
              </w:rPr>
              <w:t>,</w:t>
            </w:r>
            <w:r w:rsidRPr="00CA69BC">
              <w:rPr>
                <w:sz w:val="20"/>
                <w:szCs w:val="20"/>
              </w:rPr>
              <w:t xml:space="preserve"> and related facilities), railroads and rail stations, and divided highways (related facilities would include rest areas, highway maintenance areas, storage areas, and on/off ramps).</w:t>
            </w:r>
          </w:p>
        </w:tc>
        <w:tc>
          <w:tcPr>
            <w:tcW w:w="1260" w:type="dxa"/>
            <w:tcBorders>
              <w:bottom w:val="single" w:sz="4" w:space="0" w:color="auto"/>
            </w:tcBorders>
            <w:vAlign w:val="center"/>
          </w:tcPr>
          <w:p w14:paraId="3FC7EF8E" w14:textId="34BF0604" w:rsidR="004E22A9" w:rsidRPr="00CA69BC" w:rsidRDefault="004E22A9" w:rsidP="000747C3">
            <w:pPr>
              <w:jc w:val="center"/>
              <w:rPr>
                <w:color w:val="000000" w:themeColor="text1"/>
                <w:sz w:val="20"/>
                <w:szCs w:val="20"/>
              </w:rPr>
            </w:pPr>
            <w:r w:rsidRPr="00CA69BC">
              <w:rPr>
                <w:color w:val="000000" w:themeColor="text1"/>
                <w:sz w:val="20"/>
                <w:szCs w:val="20"/>
              </w:rPr>
              <w:t>611.</w:t>
            </w:r>
            <w:r w:rsidR="000747C3">
              <w:rPr>
                <w:color w:val="000000" w:themeColor="text1"/>
                <w:sz w:val="20"/>
                <w:szCs w:val="20"/>
              </w:rPr>
              <w:t>5</w:t>
            </w:r>
          </w:p>
        </w:tc>
      </w:tr>
      <w:tr w:rsidR="004E22A9" w:rsidRPr="00F6680F" w14:paraId="20B15C7F" w14:textId="77777777" w:rsidTr="005D4760">
        <w:trPr>
          <w:trHeight w:val="288"/>
          <w:jc w:val="center"/>
        </w:trPr>
        <w:tc>
          <w:tcPr>
            <w:tcW w:w="1463" w:type="dxa"/>
            <w:vMerge/>
            <w:vAlign w:val="center"/>
          </w:tcPr>
          <w:p w14:paraId="003D0DB6" w14:textId="77777777" w:rsidR="004E22A9" w:rsidRPr="00CA69BC" w:rsidRDefault="004E22A9" w:rsidP="00E376B3">
            <w:pPr>
              <w:jc w:val="center"/>
              <w:rPr>
                <w:color w:val="000000" w:themeColor="text1"/>
                <w:sz w:val="20"/>
                <w:szCs w:val="20"/>
              </w:rPr>
            </w:pPr>
          </w:p>
        </w:tc>
        <w:tc>
          <w:tcPr>
            <w:tcW w:w="6632" w:type="dxa"/>
            <w:tcBorders>
              <w:top w:val="single" w:sz="4" w:space="0" w:color="auto"/>
              <w:left w:val="single" w:sz="4" w:space="0" w:color="auto"/>
              <w:bottom w:val="single" w:sz="4" w:space="0" w:color="auto"/>
              <w:right w:val="single" w:sz="4" w:space="0" w:color="auto"/>
            </w:tcBorders>
            <w:vAlign w:val="center"/>
          </w:tcPr>
          <w:p w14:paraId="310A1C6A" w14:textId="77777777" w:rsidR="004E22A9" w:rsidRPr="00CA69BC" w:rsidRDefault="004E22A9" w:rsidP="007246D2">
            <w:pPr>
              <w:spacing w:line="240" w:lineRule="exact"/>
              <w:rPr>
                <w:color w:val="000000" w:themeColor="text1"/>
                <w:sz w:val="20"/>
                <w:szCs w:val="20"/>
              </w:rPr>
            </w:pPr>
            <w:r w:rsidRPr="00CA69BC">
              <w:rPr>
                <w:color w:val="000000" w:themeColor="text1"/>
                <w:sz w:val="20"/>
                <w:szCs w:val="20"/>
              </w:rPr>
              <w:t>Marina:</w:t>
            </w:r>
          </w:p>
          <w:p w14:paraId="5CF944F6" w14:textId="3A0C6FD1"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Include parking lots and associated facilities but not docks</w:t>
            </w:r>
          </w:p>
        </w:tc>
        <w:tc>
          <w:tcPr>
            <w:tcW w:w="1260" w:type="dxa"/>
            <w:tcBorders>
              <w:top w:val="single" w:sz="4" w:space="0" w:color="auto"/>
              <w:left w:val="single" w:sz="4" w:space="0" w:color="auto"/>
              <w:bottom w:val="single" w:sz="4" w:space="0" w:color="auto"/>
              <w:right w:val="single" w:sz="4" w:space="0" w:color="auto"/>
            </w:tcBorders>
            <w:vAlign w:val="center"/>
          </w:tcPr>
          <w:p w14:paraId="61D76E5A" w14:textId="1F56A364" w:rsidR="004E22A9" w:rsidRPr="00CA69BC" w:rsidRDefault="004E22A9" w:rsidP="00486EC8">
            <w:pPr>
              <w:jc w:val="center"/>
              <w:rPr>
                <w:rFonts w:cstheme="minorHAnsi"/>
                <w:sz w:val="20"/>
                <w:szCs w:val="20"/>
              </w:rPr>
            </w:pPr>
            <w:r w:rsidRPr="00CA69BC">
              <w:rPr>
                <w:rFonts w:cstheme="minorHAnsi"/>
                <w:sz w:val="20"/>
                <w:szCs w:val="20"/>
              </w:rPr>
              <w:t>6.</w:t>
            </w:r>
            <w:r w:rsidR="000747C3">
              <w:rPr>
                <w:rFonts w:cstheme="minorHAnsi"/>
                <w:sz w:val="20"/>
                <w:szCs w:val="20"/>
              </w:rPr>
              <w:t>9</w:t>
            </w:r>
          </w:p>
        </w:tc>
      </w:tr>
      <w:tr w:rsidR="004E22A9" w:rsidRPr="00F6680F" w14:paraId="3325943B" w14:textId="77777777" w:rsidTr="005D4760">
        <w:trPr>
          <w:trHeight w:val="288"/>
          <w:jc w:val="center"/>
        </w:trPr>
        <w:tc>
          <w:tcPr>
            <w:tcW w:w="1463" w:type="dxa"/>
            <w:vMerge/>
            <w:vAlign w:val="center"/>
          </w:tcPr>
          <w:p w14:paraId="6A775270" w14:textId="77777777" w:rsidR="004E22A9" w:rsidRPr="00CA69BC" w:rsidRDefault="004E22A9" w:rsidP="00E376B3">
            <w:pPr>
              <w:jc w:val="center"/>
              <w:rPr>
                <w:color w:val="000000" w:themeColor="text1"/>
                <w:sz w:val="20"/>
                <w:szCs w:val="20"/>
              </w:rPr>
            </w:pPr>
          </w:p>
        </w:tc>
        <w:tc>
          <w:tcPr>
            <w:tcW w:w="6632" w:type="dxa"/>
            <w:tcBorders>
              <w:top w:val="single" w:sz="4" w:space="0" w:color="auto"/>
              <w:left w:val="single" w:sz="4" w:space="0" w:color="auto"/>
              <w:bottom w:val="single" w:sz="4" w:space="0" w:color="auto"/>
              <w:right w:val="single" w:sz="4" w:space="0" w:color="auto"/>
            </w:tcBorders>
            <w:vAlign w:val="center"/>
          </w:tcPr>
          <w:p w14:paraId="21211092" w14:textId="7F666794"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Powerline/Utility:</w:t>
            </w:r>
          </w:p>
          <w:p w14:paraId="3CB67457" w14:textId="062362E0"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Powerline and other maintained public utility corridors and associated facilities, including power plants and their parking areas.</w:t>
            </w:r>
          </w:p>
        </w:tc>
        <w:tc>
          <w:tcPr>
            <w:tcW w:w="1260" w:type="dxa"/>
            <w:tcBorders>
              <w:top w:val="single" w:sz="4" w:space="0" w:color="auto"/>
              <w:left w:val="single" w:sz="4" w:space="0" w:color="auto"/>
              <w:bottom w:val="single" w:sz="4" w:space="0" w:color="auto"/>
              <w:right w:val="single" w:sz="4" w:space="0" w:color="auto"/>
            </w:tcBorders>
            <w:vAlign w:val="center"/>
          </w:tcPr>
          <w:p w14:paraId="3E99F3AA" w14:textId="59C7084C" w:rsidR="004E22A9" w:rsidRPr="00CA69BC" w:rsidRDefault="004E22A9" w:rsidP="00486EC8">
            <w:pPr>
              <w:jc w:val="center"/>
              <w:rPr>
                <w:rFonts w:cstheme="minorHAnsi"/>
                <w:sz w:val="20"/>
                <w:szCs w:val="20"/>
              </w:rPr>
            </w:pPr>
            <w:r w:rsidRPr="00CA69BC">
              <w:rPr>
                <w:rFonts w:cstheme="minorHAnsi"/>
                <w:sz w:val="20"/>
                <w:szCs w:val="20"/>
              </w:rPr>
              <w:t>62.</w:t>
            </w:r>
            <w:r w:rsidR="000747C3">
              <w:rPr>
                <w:rFonts w:cstheme="minorHAnsi"/>
                <w:sz w:val="20"/>
                <w:szCs w:val="20"/>
              </w:rPr>
              <w:t>2</w:t>
            </w:r>
          </w:p>
        </w:tc>
      </w:tr>
      <w:tr w:rsidR="004E22A9" w:rsidRPr="00F6680F" w14:paraId="68C0E650" w14:textId="77777777" w:rsidTr="00E376B3">
        <w:trPr>
          <w:trHeight w:val="288"/>
          <w:jc w:val="center"/>
        </w:trPr>
        <w:tc>
          <w:tcPr>
            <w:tcW w:w="1463" w:type="dxa"/>
            <w:vMerge/>
            <w:tcBorders>
              <w:bottom w:val="single" w:sz="4" w:space="0" w:color="auto"/>
            </w:tcBorders>
            <w:vAlign w:val="center"/>
          </w:tcPr>
          <w:p w14:paraId="58CFAC6A" w14:textId="77777777" w:rsidR="004E22A9" w:rsidRPr="00CA69BC" w:rsidRDefault="004E22A9" w:rsidP="00E376B3">
            <w:pPr>
              <w:jc w:val="center"/>
              <w:rPr>
                <w:color w:val="000000" w:themeColor="text1"/>
                <w:sz w:val="20"/>
                <w:szCs w:val="20"/>
              </w:rPr>
            </w:pPr>
          </w:p>
        </w:tc>
        <w:tc>
          <w:tcPr>
            <w:tcW w:w="6632" w:type="dxa"/>
            <w:tcBorders>
              <w:top w:val="single" w:sz="4" w:space="0" w:color="auto"/>
              <w:bottom w:val="single" w:sz="4" w:space="0" w:color="auto"/>
              <w:right w:val="single" w:sz="4" w:space="0" w:color="auto"/>
            </w:tcBorders>
            <w:shd w:val="clear" w:color="auto" w:fill="F2F2F2" w:themeFill="background1" w:themeFillShade="F2"/>
            <w:vAlign w:val="center"/>
          </w:tcPr>
          <w:p w14:paraId="1CA43BAA" w14:textId="43A85593" w:rsidR="004E22A9" w:rsidRPr="00CA69BC" w:rsidRDefault="004E22A9" w:rsidP="007246D2">
            <w:pPr>
              <w:spacing w:line="240" w:lineRule="exact"/>
              <w:rPr>
                <w:rFonts w:cs="Noto Sans"/>
                <w:color w:val="141414"/>
                <w:sz w:val="20"/>
                <w:szCs w:val="20"/>
              </w:rPr>
            </w:pPr>
            <w:r w:rsidRPr="00CA69BC">
              <w:rPr>
                <w:b/>
                <w:bCs/>
                <w:color w:val="262626" w:themeColor="text1" w:themeTint="D9"/>
                <w:sz w:val="20"/>
                <w:szCs w:val="20"/>
              </w:rPr>
              <w:t>Total Transportation and Utility</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1BB07" w14:textId="720ABFBD" w:rsidR="004E22A9" w:rsidRPr="00CA69BC" w:rsidRDefault="004E22A9" w:rsidP="00486EC8">
            <w:pPr>
              <w:jc w:val="center"/>
              <w:rPr>
                <w:rFonts w:cstheme="minorHAnsi"/>
                <w:b/>
                <w:bCs/>
                <w:sz w:val="20"/>
                <w:szCs w:val="20"/>
              </w:rPr>
            </w:pPr>
            <w:r w:rsidRPr="00CA69BC">
              <w:rPr>
                <w:rFonts w:cstheme="minorHAnsi"/>
                <w:b/>
                <w:bCs/>
                <w:sz w:val="20"/>
                <w:szCs w:val="20"/>
              </w:rPr>
              <w:t>680.</w:t>
            </w:r>
            <w:r w:rsidR="000747C3">
              <w:rPr>
                <w:rFonts w:cstheme="minorHAnsi"/>
                <w:b/>
                <w:bCs/>
                <w:sz w:val="20"/>
                <w:szCs w:val="20"/>
              </w:rPr>
              <w:t>6</w:t>
            </w:r>
          </w:p>
        </w:tc>
      </w:tr>
      <w:tr w:rsidR="004E22A9" w:rsidRPr="00F6680F" w14:paraId="43D15BF0" w14:textId="77777777" w:rsidTr="005D4760">
        <w:trPr>
          <w:trHeight w:val="288"/>
          <w:jc w:val="center"/>
        </w:trPr>
        <w:tc>
          <w:tcPr>
            <w:tcW w:w="1463" w:type="dxa"/>
            <w:tcBorders>
              <w:top w:val="single" w:sz="4" w:space="0" w:color="auto"/>
              <w:left w:val="single" w:sz="4" w:space="0" w:color="auto"/>
              <w:bottom w:val="single" w:sz="4" w:space="0" w:color="auto"/>
              <w:right w:val="single" w:sz="4" w:space="0" w:color="auto"/>
            </w:tcBorders>
            <w:vAlign w:val="center"/>
          </w:tcPr>
          <w:p w14:paraId="056FA6F3" w14:textId="04AB2F8E" w:rsidR="004E22A9" w:rsidRPr="00CA69BC" w:rsidRDefault="004E22A9" w:rsidP="00E376B3">
            <w:pPr>
              <w:jc w:val="center"/>
              <w:rPr>
                <w:color w:val="000000" w:themeColor="text1"/>
                <w:sz w:val="20"/>
                <w:szCs w:val="20"/>
              </w:rPr>
            </w:pPr>
            <w:r w:rsidRPr="00CA69BC">
              <w:rPr>
                <w:color w:val="000000" w:themeColor="text1"/>
                <w:sz w:val="20"/>
                <w:szCs w:val="20"/>
              </w:rPr>
              <w:t>Cemeteries</w:t>
            </w:r>
          </w:p>
        </w:tc>
        <w:tc>
          <w:tcPr>
            <w:tcW w:w="6632" w:type="dxa"/>
            <w:tcBorders>
              <w:top w:val="single" w:sz="4" w:space="0" w:color="auto"/>
              <w:left w:val="single" w:sz="4" w:space="0" w:color="auto"/>
              <w:bottom w:val="single" w:sz="4" w:space="0" w:color="auto"/>
              <w:right w:val="single" w:sz="4" w:space="0" w:color="auto"/>
            </w:tcBorders>
            <w:vAlign w:val="center"/>
          </w:tcPr>
          <w:p w14:paraId="52641E56" w14:textId="0BC0B14A"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Includes the gravestones, monuments, parking lots, road networks</w:t>
            </w:r>
            <w:r w:rsidR="00514429" w:rsidRPr="00CA69BC">
              <w:rPr>
                <w:rFonts w:cs="Noto Sans"/>
                <w:color w:val="141414"/>
                <w:sz w:val="20"/>
                <w:szCs w:val="20"/>
              </w:rPr>
              <w:t>,</w:t>
            </w:r>
            <w:r w:rsidRPr="00CA69BC">
              <w:rPr>
                <w:rFonts w:cs="Noto Sans"/>
                <w:color w:val="141414"/>
                <w:sz w:val="20"/>
                <w:szCs w:val="20"/>
              </w:rPr>
              <w:t xml:space="preserve"> and associated buildings.</w:t>
            </w:r>
          </w:p>
        </w:tc>
        <w:tc>
          <w:tcPr>
            <w:tcW w:w="1260" w:type="dxa"/>
            <w:tcBorders>
              <w:top w:val="single" w:sz="4" w:space="0" w:color="auto"/>
              <w:left w:val="single" w:sz="4" w:space="0" w:color="auto"/>
              <w:bottom w:val="single" w:sz="4" w:space="0" w:color="auto"/>
              <w:right w:val="single" w:sz="4" w:space="0" w:color="auto"/>
            </w:tcBorders>
            <w:vAlign w:val="center"/>
          </w:tcPr>
          <w:p w14:paraId="65ECADB8" w14:textId="216AB843" w:rsidR="004E22A9" w:rsidRPr="00CA69BC" w:rsidRDefault="004E22A9" w:rsidP="00486EC8">
            <w:pPr>
              <w:jc w:val="center"/>
              <w:rPr>
                <w:rFonts w:cstheme="minorHAnsi"/>
                <w:sz w:val="20"/>
                <w:szCs w:val="20"/>
              </w:rPr>
            </w:pPr>
            <w:r w:rsidRPr="00CA69BC">
              <w:rPr>
                <w:rFonts w:cstheme="minorHAnsi"/>
                <w:sz w:val="20"/>
                <w:szCs w:val="20"/>
              </w:rPr>
              <w:t>5.2</w:t>
            </w:r>
          </w:p>
        </w:tc>
      </w:tr>
      <w:tr w:rsidR="004E22A9" w:rsidRPr="00F6680F" w14:paraId="1FDE7B1A" w14:textId="77777777" w:rsidTr="005D4760">
        <w:trPr>
          <w:trHeight w:val="288"/>
          <w:jc w:val="center"/>
        </w:trPr>
        <w:tc>
          <w:tcPr>
            <w:tcW w:w="1463" w:type="dxa"/>
            <w:vMerge w:val="restart"/>
            <w:tcBorders>
              <w:top w:val="single" w:sz="4" w:space="0" w:color="auto"/>
              <w:left w:val="single" w:sz="4" w:space="0" w:color="auto"/>
              <w:right w:val="single" w:sz="4" w:space="0" w:color="auto"/>
            </w:tcBorders>
            <w:vAlign w:val="center"/>
          </w:tcPr>
          <w:p w14:paraId="51C0D5D6" w14:textId="77777777" w:rsidR="004E22A9" w:rsidRPr="00CA69BC" w:rsidRDefault="004E22A9" w:rsidP="00E376B3">
            <w:pPr>
              <w:jc w:val="center"/>
              <w:rPr>
                <w:color w:val="000000" w:themeColor="text1"/>
                <w:sz w:val="20"/>
                <w:szCs w:val="20"/>
              </w:rPr>
            </w:pPr>
            <w:r w:rsidRPr="00CA69BC">
              <w:rPr>
                <w:color w:val="000000" w:themeColor="text1"/>
                <w:sz w:val="20"/>
                <w:szCs w:val="20"/>
              </w:rPr>
              <w:t>Wetlands</w:t>
            </w:r>
          </w:p>
        </w:tc>
        <w:tc>
          <w:tcPr>
            <w:tcW w:w="6632" w:type="dxa"/>
            <w:tcBorders>
              <w:top w:val="single" w:sz="4" w:space="0" w:color="auto"/>
              <w:left w:val="single" w:sz="4" w:space="0" w:color="auto"/>
              <w:bottom w:val="single" w:sz="4" w:space="0" w:color="auto"/>
              <w:right w:val="single" w:sz="4" w:space="0" w:color="auto"/>
            </w:tcBorders>
            <w:vAlign w:val="center"/>
          </w:tcPr>
          <w:p w14:paraId="1E7A5C3E" w14:textId="77777777" w:rsidR="004E22A9" w:rsidRPr="00CA69BC" w:rsidRDefault="004E22A9" w:rsidP="007246D2">
            <w:pPr>
              <w:spacing w:line="240" w:lineRule="exact"/>
              <w:rPr>
                <w:rFonts w:cs="Noto Sans"/>
                <w:color w:val="141414"/>
                <w:sz w:val="20"/>
                <w:szCs w:val="20"/>
              </w:rPr>
            </w:pPr>
            <w:r w:rsidRPr="00CA69BC">
              <w:rPr>
                <w:color w:val="262626" w:themeColor="text1" w:themeTint="D9"/>
                <w:sz w:val="20"/>
                <w:szCs w:val="20"/>
              </w:rPr>
              <w:t>Forested Wetland:</w:t>
            </w:r>
            <w:r w:rsidRPr="00E376B3">
              <w:rPr>
                <w:rFonts w:cs="Noto Sans"/>
                <w:color w:val="141414"/>
                <w:sz w:val="20"/>
                <w:szCs w:val="20"/>
              </w:rPr>
              <w:t xml:space="preserve"> </w:t>
            </w:r>
            <w:r w:rsidRPr="00CA69BC">
              <w:rPr>
                <w:rFonts w:cs="Noto Sans"/>
                <w:color w:val="141414"/>
                <w:sz w:val="20"/>
                <w:szCs w:val="20"/>
              </w:rPr>
              <w:t>DEP Wetlands (1:12,000) </w:t>
            </w:r>
            <w:r w:rsidRPr="00CA69BC">
              <w:rPr>
                <w:rFonts w:cs="Noto Sans"/>
                <w:sz w:val="20"/>
                <w:szCs w:val="20"/>
              </w:rPr>
              <w:t>WETCODEs</w:t>
            </w:r>
            <w:r w:rsidRPr="00CA69BC">
              <w:rPr>
                <w:rFonts w:cs="Noto Sans"/>
                <w:color w:val="141414"/>
                <w:sz w:val="20"/>
                <w:szCs w:val="20"/>
              </w:rPr>
              <w:t> 14, 15, 16, 24, 25 and 26.</w:t>
            </w:r>
          </w:p>
        </w:tc>
        <w:tc>
          <w:tcPr>
            <w:tcW w:w="1260" w:type="dxa"/>
            <w:tcBorders>
              <w:top w:val="single" w:sz="4" w:space="0" w:color="auto"/>
              <w:left w:val="single" w:sz="4" w:space="0" w:color="auto"/>
              <w:bottom w:val="single" w:sz="4" w:space="0" w:color="auto"/>
              <w:right w:val="single" w:sz="4" w:space="0" w:color="auto"/>
            </w:tcBorders>
            <w:vAlign w:val="center"/>
          </w:tcPr>
          <w:p w14:paraId="5731783C" w14:textId="162BACE5" w:rsidR="004E22A9" w:rsidRPr="00CA69BC" w:rsidRDefault="004E22A9" w:rsidP="00486EC8">
            <w:pPr>
              <w:jc w:val="center"/>
              <w:rPr>
                <w:rFonts w:cstheme="minorHAnsi"/>
                <w:sz w:val="20"/>
                <w:szCs w:val="20"/>
              </w:rPr>
            </w:pPr>
            <w:r w:rsidRPr="00CA69BC">
              <w:rPr>
                <w:rFonts w:cstheme="minorHAnsi"/>
                <w:sz w:val="20"/>
                <w:szCs w:val="20"/>
              </w:rPr>
              <w:t>218.5</w:t>
            </w:r>
          </w:p>
        </w:tc>
      </w:tr>
      <w:tr w:rsidR="004E22A9" w:rsidRPr="00F6680F" w14:paraId="649CA0AF" w14:textId="77777777" w:rsidTr="005D4760">
        <w:trPr>
          <w:trHeight w:val="288"/>
          <w:jc w:val="center"/>
        </w:trPr>
        <w:tc>
          <w:tcPr>
            <w:tcW w:w="1463" w:type="dxa"/>
            <w:vMerge/>
            <w:tcBorders>
              <w:left w:val="single" w:sz="4" w:space="0" w:color="auto"/>
              <w:right w:val="single" w:sz="4" w:space="0" w:color="auto"/>
            </w:tcBorders>
            <w:vAlign w:val="center"/>
          </w:tcPr>
          <w:p w14:paraId="35255E1A" w14:textId="77777777" w:rsidR="004E22A9" w:rsidRPr="00CA69BC" w:rsidRDefault="004E22A9" w:rsidP="00E376B3">
            <w:pPr>
              <w:jc w:val="center"/>
              <w:rPr>
                <w:color w:val="000000" w:themeColor="text1"/>
                <w:sz w:val="20"/>
                <w:szCs w:val="20"/>
              </w:rPr>
            </w:pPr>
          </w:p>
        </w:tc>
        <w:tc>
          <w:tcPr>
            <w:tcW w:w="6632" w:type="dxa"/>
            <w:tcBorders>
              <w:top w:val="single" w:sz="4" w:space="0" w:color="auto"/>
              <w:left w:val="single" w:sz="4" w:space="0" w:color="auto"/>
              <w:bottom w:val="single" w:sz="4" w:space="0" w:color="auto"/>
              <w:right w:val="single" w:sz="4" w:space="0" w:color="auto"/>
            </w:tcBorders>
            <w:vAlign w:val="center"/>
          </w:tcPr>
          <w:p w14:paraId="5CB1B0CE" w14:textId="4B22A92B"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Non</w:t>
            </w:r>
            <w:r w:rsidR="00514429" w:rsidRPr="00CA69BC">
              <w:rPr>
                <w:color w:val="262626" w:themeColor="text1" w:themeTint="D9"/>
                <w:sz w:val="20"/>
                <w:szCs w:val="20"/>
              </w:rPr>
              <w:t>-</w:t>
            </w:r>
            <w:r w:rsidRPr="00CA69BC">
              <w:rPr>
                <w:color w:val="262626" w:themeColor="text1" w:themeTint="D9"/>
                <w:sz w:val="20"/>
                <w:szCs w:val="20"/>
              </w:rPr>
              <w:t>Forested Wetland:</w:t>
            </w:r>
          </w:p>
          <w:p w14:paraId="27D8BF4E" w14:textId="77777777" w:rsidR="004E22A9" w:rsidRPr="00CA69BC" w:rsidRDefault="004E22A9" w:rsidP="007246D2">
            <w:pPr>
              <w:spacing w:line="240" w:lineRule="exact"/>
              <w:rPr>
                <w:rFonts w:cs="Noto Sans"/>
                <w:color w:val="141414"/>
                <w:sz w:val="20"/>
                <w:szCs w:val="20"/>
              </w:rPr>
            </w:pPr>
            <w:r w:rsidRPr="00CA69BC">
              <w:rPr>
                <w:rFonts w:cs="Noto Sans"/>
                <w:color w:val="141414"/>
                <w:sz w:val="20"/>
                <w:szCs w:val="20"/>
              </w:rPr>
              <w:t>DEP Wetlands (1:12,000) </w:t>
            </w:r>
            <w:r w:rsidRPr="00CA69BC">
              <w:rPr>
                <w:rFonts w:cs="Noto Sans"/>
                <w:sz w:val="20"/>
                <w:szCs w:val="20"/>
              </w:rPr>
              <w:t>WETCODEs</w:t>
            </w:r>
            <w:r w:rsidRPr="00CA69BC">
              <w:rPr>
                <w:rFonts w:cs="Noto Sans"/>
                <w:color w:val="141414"/>
                <w:sz w:val="20"/>
                <w:szCs w:val="20"/>
              </w:rPr>
              <w:t> 4, 7, 8, 12, 23, 18, 20, and 21.</w:t>
            </w:r>
          </w:p>
        </w:tc>
        <w:tc>
          <w:tcPr>
            <w:tcW w:w="1260" w:type="dxa"/>
            <w:tcBorders>
              <w:top w:val="single" w:sz="4" w:space="0" w:color="auto"/>
              <w:left w:val="single" w:sz="4" w:space="0" w:color="auto"/>
              <w:bottom w:val="single" w:sz="4" w:space="0" w:color="auto"/>
              <w:right w:val="single" w:sz="4" w:space="0" w:color="auto"/>
            </w:tcBorders>
            <w:vAlign w:val="center"/>
          </w:tcPr>
          <w:p w14:paraId="412FDF77" w14:textId="24949CC4" w:rsidR="004E22A9" w:rsidRPr="00CA69BC" w:rsidRDefault="004E22A9" w:rsidP="00486EC8">
            <w:pPr>
              <w:jc w:val="center"/>
              <w:rPr>
                <w:rFonts w:cstheme="minorHAnsi"/>
                <w:sz w:val="20"/>
                <w:szCs w:val="20"/>
              </w:rPr>
            </w:pPr>
            <w:r w:rsidRPr="00CA69BC">
              <w:rPr>
                <w:rFonts w:cstheme="minorHAnsi"/>
                <w:sz w:val="20"/>
                <w:szCs w:val="20"/>
              </w:rPr>
              <w:t>351.</w:t>
            </w:r>
            <w:r w:rsidR="000747C3">
              <w:rPr>
                <w:rFonts w:cstheme="minorHAnsi"/>
                <w:sz w:val="20"/>
                <w:szCs w:val="20"/>
              </w:rPr>
              <w:t>2</w:t>
            </w:r>
          </w:p>
        </w:tc>
      </w:tr>
      <w:tr w:rsidR="004E22A9" w:rsidRPr="00F6680F" w14:paraId="17910CB1" w14:textId="77777777" w:rsidTr="005D4760">
        <w:trPr>
          <w:trHeight w:val="288"/>
          <w:jc w:val="center"/>
        </w:trPr>
        <w:tc>
          <w:tcPr>
            <w:tcW w:w="1463" w:type="dxa"/>
            <w:vMerge/>
            <w:tcBorders>
              <w:left w:val="single" w:sz="4" w:space="0" w:color="auto"/>
              <w:right w:val="single" w:sz="4" w:space="0" w:color="auto"/>
            </w:tcBorders>
            <w:vAlign w:val="center"/>
          </w:tcPr>
          <w:p w14:paraId="22D7C92D" w14:textId="77777777" w:rsidR="004E22A9" w:rsidRPr="00CA69BC" w:rsidRDefault="004E22A9" w:rsidP="00E376B3">
            <w:pPr>
              <w:jc w:val="center"/>
              <w:rPr>
                <w:color w:val="000000" w:themeColor="text1"/>
                <w:sz w:val="20"/>
                <w:szCs w:val="20"/>
              </w:rPr>
            </w:pPr>
          </w:p>
        </w:tc>
        <w:tc>
          <w:tcPr>
            <w:tcW w:w="6632" w:type="dxa"/>
            <w:tcBorders>
              <w:top w:val="single" w:sz="4" w:space="0" w:color="auto"/>
              <w:left w:val="single" w:sz="4" w:space="0" w:color="auto"/>
              <w:bottom w:val="single" w:sz="4" w:space="0" w:color="auto"/>
              <w:right w:val="single" w:sz="4" w:space="0" w:color="auto"/>
            </w:tcBorders>
            <w:vAlign w:val="center"/>
          </w:tcPr>
          <w:p w14:paraId="763609ED" w14:textId="45EC45BD" w:rsidR="004E22A9" w:rsidRPr="00CA69BC" w:rsidRDefault="004E22A9" w:rsidP="007246D2">
            <w:pPr>
              <w:spacing w:line="240" w:lineRule="exact"/>
              <w:rPr>
                <w:color w:val="262626" w:themeColor="text1" w:themeTint="D9"/>
                <w:sz w:val="20"/>
                <w:szCs w:val="20"/>
              </w:rPr>
            </w:pPr>
            <w:r w:rsidRPr="00CA69BC">
              <w:rPr>
                <w:color w:val="262626" w:themeColor="text1" w:themeTint="D9"/>
                <w:sz w:val="20"/>
                <w:szCs w:val="20"/>
              </w:rPr>
              <w:t>Saltwater Wetland</w:t>
            </w:r>
          </w:p>
        </w:tc>
        <w:tc>
          <w:tcPr>
            <w:tcW w:w="1260" w:type="dxa"/>
            <w:tcBorders>
              <w:top w:val="single" w:sz="4" w:space="0" w:color="auto"/>
              <w:left w:val="single" w:sz="4" w:space="0" w:color="auto"/>
              <w:bottom w:val="single" w:sz="4" w:space="0" w:color="auto"/>
              <w:right w:val="single" w:sz="4" w:space="0" w:color="auto"/>
            </w:tcBorders>
            <w:vAlign w:val="center"/>
          </w:tcPr>
          <w:p w14:paraId="1227AFD4" w14:textId="744EE14B" w:rsidR="004E22A9" w:rsidRPr="00CA69BC" w:rsidRDefault="004E22A9" w:rsidP="00486EC8">
            <w:pPr>
              <w:jc w:val="center"/>
              <w:rPr>
                <w:rFonts w:cstheme="minorHAnsi"/>
                <w:sz w:val="20"/>
                <w:szCs w:val="20"/>
              </w:rPr>
            </w:pPr>
            <w:r w:rsidRPr="00CA69BC">
              <w:rPr>
                <w:rFonts w:cstheme="minorHAnsi"/>
                <w:sz w:val="20"/>
                <w:szCs w:val="20"/>
              </w:rPr>
              <w:t>304.</w:t>
            </w:r>
            <w:r w:rsidR="000747C3">
              <w:rPr>
                <w:rFonts w:cstheme="minorHAnsi"/>
                <w:sz w:val="20"/>
                <w:szCs w:val="20"/>
              </w:rPr>
              <w:t>9</w:t>
            </w:r>
          </w:p>
        </w:tc>
      </w:tr>
      <w:tr w:rsidR="004E22A9" w:rsidRPr="00F6680F" w14:paraId="4963BFC9" w14:textId="77777777" w:rsidTr="00E376B3">
        <w:trPr>
          <w:trHeight w:val="288"/>
          <w:jc w:val="center"/>
        </w:trPr>
        <w:tc>
          <w:tcPr>
            <w:tcW w:w="1463" w:type="dxa"/>
            <w:vMerge/>
            <w:tcBorders>
              <w:left w:val="single" w:sz="4" w:space="0" w:color="auto"/>
              <w:bottom w:val="single" w:sz="4" w:space="0" w:color="auto"/>
              <w:right w:val="single" w:sz="4" w:space="0" w:color="auto"/>
            </w:tcBorders>
            <w:vAlign w:val="center"/>
          </w:tcPr>
          <w:p w14:paraId="67CD4C36" w14:textId="77777777" w:rsidR="004E22A9" w:rsidRPr="00CA69BC" w:rsidRDefault="004E22A9" w:rsidP="00E376B3">
            <w:pPr>
              <w:jc w:val="center"/>
              <w:rPr>
                <w:color w:val="000000" w:themeColor="text1"/>
                <w:sz w:val="20"/>
                <w:szCs w:val="20"/>
              </w:rPr>
            </w:pPr>
          </w:p>
        </w:tc>
        <w:tc>
          <w:tcPr>
            <w:tcW w:w="6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1B05F" w14:textId="0183007A" w:rsidR="004E22A9" w:rsidRPr="00CA69BC" w:rsidRDefault="004E22A9" w:rsidP="007246D2">
            <w:pPr>
              <w:spacing w:line="240" w:lineRule="exact"/>
              <w:rPr>
                <w:rFonts w:cs="Noto Sans"/>
                <w:color w:val="141414"/>
                <w:sz w:val="20"/>
                <w:szCs w:val="20"/>
              </w:rPr>
            </w:pPr>
            <w:r w:rsidRPr="00CA69BC">
              <w:rPr>
                <w:b/>
                <w:bCs/>
                <w:color w:val="262626" w:themeColor="text1" w:themeTint="D9"/>
                <w:sz w:val="20"/>
                <w:szCs w:val="20"/>
              </w:rPr>
              <w:t>Total Wetlands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816E9" w14:textId="1125EF23" w:rsidR="004E22A9" w:rsidRPr="00CA69BC" w:rsidRDefault="004E22A9" w:rsidP="00514429">
            <w:pPr>
              <w:jc w:val="center"/>
              <w:rPr>
                <w:rFonts w:cstheme="minorHAnsi"/>
                <w:b/>
                <w:bCs/>
                <w:sz w:val="20"/>
                <w:szCs w:val="20"/>
              </w:rPr>
            </w:pPr>
            <w:r w:rsidRPr="00CA69BC">
              <w:rPr>
                <w:rFonts w:cstheme="minorHAnsi"/>
                <w:b/>
                <w:bCs/>
                <w:sz w:val="20"/>
                <w:szCs w:val="20"/>
              </w:rPr>
              <w:t>874.</w:t>
            </w:r>
            <w:r w:rsidR="000747C3">
              <w:rPr>
                <w:rFonts w:cstheme="minorHAnsi"/>
                <w:b/>
                <w:bCs/>
                <w:sz w:val="20"/>
                <w:szCs w:val="20"/>
              </w:rPr>
              <w:t>6</w:t>
            </w:r>
          </w:p>
        </w:tc>
      </w:tr>
      <w:tr w:rsidR="004E22A9" w:rsidRPr="00F6680F" w14:paraId="0F70A92C" w14:textId="77777777" w:rsidTr="00E376B3">
        <w:trPr>
          <w:trHeight w:val="288"/>
          <w:jc w:val="center"/>
        </w:trPr>
        <w:tc>
          <w:tcPr>
            <w:tcW w:w="1463" w:type="dxa"/>
            <w:tcBorders>
              <w:top w:val="single" w:sz="4" w:space="0" w:color="auto"/>
              <w:left w:val="single" w:sz="4" w:space="0" w:color="auto"/>
              <w:bottom w:val="single" w:sz="4" w:space="0" w:color="auto"/>
              <w:right w:val="single" w:sz="4" w:space="0" w:color="auto"/>
            </w:tcBorders>
            <w:vAlign w:val="center"/>
          </w:tcPr>
          <w:p w14:paraId="12C16561" w14:textId="364C07B2" w:rsidR="004E22A9" w:rsidRPr="00CA69BC" w:rsidRDefault="004E22A9" w:rsidP="00E376B3">
            <w:pPr>
              <w:jc w:val="center"/>
              <w:rPr>
                <w:color w:val="000000" w:themeColor="text1"/>
                <w:sz w:val="20"/>
                <w:szCs w:val="20"/>
              </w:rPr>
            </w:pPr>
            <w:r w:rsidRPr="00CA69BC">
              <w:rPr>
                <w:color w:val="000000" w:themeColor="text1"/>
                <w:sz w:val="20"/>
                <w:szCs w:val="20"/>
              </w:rPr>
              <w:t>Water</w:t>
            </w:r>
          </w:p>
        </w:tc>
        <w:tc>
          <w:tcPr>
            <w:tcW w:w="6632" w:type="dxa"/>
            <w:tcBorders>
              <w:top w:val="single" w:sz="4" w:space="0" w:color="auto"/>
              <w:left w:val="single" w:sz="4" w:space="0" w:color="auto"/>
              <w:bottom w:val="single" w:sz="4" w:space="0" w:color="auto"/>
              <w:right w:val="single" w:sz="4" w:space="0" w:color="auto"/>
            </w:tcBorders>
            <w:shd w:val="clear" w:color="auto" w:fill="auto"/>
            <w:vAlign w:val="center"/>
          </w:tcPr>
          <w:p w14:paraId="5A89A0B9" w14:textId="77777777" w:rsidR="004E22A9" w:rsidRPr="00CA69BC" w:rsidRDefault="004E22A9" w:rsidP="007246D2">
            <w:pPr>
              <w:spacing w:line="240" w:lineRule="exact"/>
              <w:rPr>
                <w:b/>
                <w:bCs/>
                <w:color w:val="262626" w:themeColor="text1" w:themeTint="D9"/>
                <w:sz w:val="20"/>
                <w:szCs w:val="20"/>
              </w:rPr>
            </w:pPr>
            <w:r w:rsidRPr="00CA69BC">
              <w:rPr>
                <w:rFonts w:cs="Noto Sans"/>
                <w:color w:val="141414"/>
                <w:sz w:val="20"/>
                <w:szCs w:val="20"/>
              </w:rPr>
              <w:t>DEP Wetlands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E7B0A5" w14:textId="7753D2F9" w:rsidR="004E22A9" w:rsidRPr="00CA69BC" w:rsidRDefault="004E22A9" w:rsidP="00486EC8">
            <w:pPr>
              <w:jc w:val="center"/>
              <w:rPr>
                <w:color w:val="000000" w:themeColor="text1"/>
                <w:sz w:val="20"/>
                <w:szCs w:val="20"/>
              </w:rPr>
            </w:pPr>
            <w:r w:rsidRPr="00CA69BC">
              <w:rPr>
                <w:color w:val="000000" w:themeColor="text1"/>
                <w:sz w:val="20"/>
                <w:szCs w:val="20"/>
              </w:rPr>
              <w:t>1</w:t>
            </w:r>
            <w:r w:rsidR="00C22DD0" w:rsidRPr="00CA69BC">
              <w:rPr>
                <w:color w:val="000000" w:themeColor="text1"/>
                <w:sz w:val="20"/>
                <w:szCs w:val="20"/>
              </w:rPr>
              <w:t>,</w:t>
            </w:r>
            <w:r w:rsidRPr="00CA69BC">
              <w:rPr>
                <w:color w:val="000000" w:themeColor="text1"/>
                <w:sz w:val="20"/>
                <w:szCs w:val="20"/>
              </w:rPr>
              <w:t>526.</w:t>
            </w:r>
            <w:r w:rsidR="000747C3">
              <w:rPr>
                <w:color w:val="000000" w:themeColor="text1"/>
                <w:sz w:val="20"/>
                <w:szCs w:val="20"/>
              </w:rPr>
              <w:t>7</w:t>
            </w:r>
          </w:p>
        </w:tc>
      </w:tr>
      <w:tr w:rsidR="004E22A9" w:rsidRPr="00F6680F" w14:paraId="5279379E" w14:textId="77777777" w:rsidTr="00E376B3">
        <w:trPr>
          <w:trHeight w:val="288"/>
          <w:jc w:val="center"/>
        </w:trPr>
        <w:tc>
          <w:tcPr>
            <w:tcW w:w="8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6C0F1" w14:textId="65D1A2AD" w:rsidR="004E22A9" w:rsidRPr="00CA69BC" w:rsidRDefault="006649CF" w:rsidP="00E376B3">
            <w:pPr>
              <w:spacing w:line="240" w:lineRule="exact"/>
              <w:jc w:val="right"/>
              <w:rPr>
                <w:b/>
                <w:bCs/>
                <w:color w:val="262626" w:themeColor="text1" w:themeTint="D9"/>
                <w:sz w:val="20"/>
                <w:szCs w:val="20"/>
              </w:rPr>
            </w:pPr>
            <w:r>
              <w:rPr>
                <w:b/>
                <w:bCs/>
                <w:color w:val="262626" w:themeColor="text1" w:themeTint="D9"/>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4D417" w14:textId="4F20C29B" w:rsidR="004E22A9" w:rsidRPr="00CA69BC" w:rsidRDefault="004E22A9" w:rsidP="00514429">
            <w:pPr>
              <w:jc w:val="center"/>
              <w:rPr>
                <w:b/>
                <w:bCs/>
                <w:color w:val="000000" w:themeColor="text1"/>
                <w:sz w:val="20"/>
                <w:szCs w:val="20"/>
              </w:rPr>
            </w:pPr>
            <w:r w:rsidRPr="00CA69BC">
              <w:rPr>
                <w:b/>
                <w:bCs/>
                <w:color w:val="000000" w:themeColor="text1"/>
                <w:sz w:val="20"/>
                <w:szCs w:val="20"/>
              </w:rPr>
              <w:t>16</w:t>
            </w:r>
            <w:r w:rsidR="00514429" w:rsidRPr="00CA69BC">
              <w:rPr>
                <w:b/>
                <w:bCs/>
                <w:color w:val="000000" w:themeColor="text1"/>
                <w:sz w:val="20"/>
                <w:szCs w:val="20"/>
              </w:rPr>
              <w:t>,</w:t>
            </w:r>
            <w:r w:rsidRPr="00CA69BC">
              <w:rPr>
                <w:b/>
                <w:bCs/>
                <w:color w:val="000000" w:themeColor="text1"/>
                <w:sz w:val="20"/>
                <w:szCs w:val="20"/>
              </w:rPr>
              <w:t>3</w:t>
            </w:r>
            <w:r w:rsidR="000747C3">
              <w:rPr>
                <w:b/>
                <w:bCs/>
                <w:color w:val="000000" w:themeColor="text1"/>
                <w:sz w:val="20"/>
                <w:szCs w:val="20"/>
              </w:rPr>
              <w:t>79</w:t>
            </w:r>
            <w:r w:rsidRPr="00CA69BC">
              <w:rPr>
                <w:b/>
                <w:bCs/>
                <w:color w:val="000000" w:themeColor="text1"/>
                <w:sz w:val="20"/>
                <w:szCs w:val="20"/>
              </w:rPr>
              <w:t>.</w:t>
            </w:r>
            <w:r w:rsidR="000747C3">
              <w:rPr>
                <w:b/>
                <w:bCs/>
                <w:color w:val="000000" w:themeColor="text1"/>
                <w:sz w:val="20"/>
                <w:szCs w:val="20"/>
              </w:rPr>
              <w:t>9</w:t>
            </w:r>
          </w:p>
        </w:tc>
      </w:tr>
    </w:tbl>
    <w:p w14:paraId="1FF7F870" w14:textId="2569615D" w:rsidR="0022730D" w:rsidRPr="00E376B3" w:rsidRDefault="0022730D" w:rsidP="0022730D">
      <w:pPr>
        <w:jc w:val="both"/>
        <w:rPr>
          <w:i/>
          <w:iCs/>
          <w:sz w:val="20"/>
          <w:szCs w:val="20"/>
        </w:rPr>
      </w:pPr>
      <w:r w:rsidRPr="00E376B3">
        <w:rPr>
          <w:i/>
          <w:iCs/>
          <w:sz w:val="20"/>
          <w:szCs w:val="20"/>
        </w:rPr>
        <w:t xml:space="preserve">Source: </w:t>
      </w:r>
      <w:proofErr w:type="spellStart"/>
      <w:r w:rsidRPr="00E376B3">
        <w:rPr>
          <w:i/>
          <w:iCs/>
          <w:sz w:val="20"/>
          <w:szCs w:val="20"/>
        </w:rPr>
        <w:t>MassGIS</w:t>
      </w:r>
      <w:proofErr w:type="spellEnd"/>
      <w:r w:rsidRPr="00E376B3">
        <w:rPr>
          <w:i/>
          <w:iCs/>
          <w:sz w:val="20"/>
          <w:szCs w:val="20"/>
        </w:rPr>
        <w:t xml:space="preserve"> Land Use (2005)</w:t>
      </w:r>
    </w:p>
    <w:p w14:paraId="3A7DE2E6" w14:textId="7DC35799" w:rsidR="0022730D" w:rsidRDefault="0022730D" w:rsidP="0022730D">
      <w:pPr>
        <w:jc w:val="both"/>
        <w:rPr>
          <w:i/>
          <w:iCs/>
          <w:sz w:val="18"/>
          <w:szCs w:val="18"/>
        </w:rPr>
      </w:pPr>
      <w:r>
        <w:t xml:space="preserve">Mashpee encompasses approximately </w:t>
      </w:r>
      <w:r w:rsidR="00D135B9">
        <w:t>16</w:t>
      </w:r>
      <w:r w:rsidR="002A5694">
        <w:t>,</w:t>
      </w:r>
      <w:r w:rsidR="00D135B9">
        <w:t xml:space="preserve">384.78 </w:t>
      </w:r>
      <w:r>
        <w:t>acres</w:t>
      </w:r>
      <w:r w:rsidR="002F265F">
        <w:t xml:space="preserve"> of land</w:t>
      </w:r>
      <w:r>
        <w:t xml:space="preserve">. Of the total land, </w:t>
      </w:r>
      <w:r w:rsidR="00D135B9">
        <w:t>65.6</w:t>
      </w:r>
      <w:r>
        <w:t>% is constrained by ecologically sensitive habitats and dense canopy including forest (</w:t>
      </w:r>
      <w:r w:rsidR="00D135B9">
        <w:t>52.9</w:t>
      </w:r>
      <w:r>
        <w:t>%), forested wetlands (</w:t>
      </w:r>
      <w:r w:rsidR="00D135B9">
        <w:t>1.3</w:t>
      </w:r>
      <w:r>
        <w:t>%), non-forested wetlands (</w:t>
      </w:r>
      <w:r w:rsidR="00D135B9">
        <w:t>2.1</w:t>
      </w:r>
      <w:r>
        <w:t>%), and water (</w:t>
      </w:r>
      <w:r w:rsidR="00D135B9">
        <w:t>9.3</w:t>
      </w:r>
      <w:r>
        <w:t>%)</w:t>
      </w:r>
      <w:r w:rsidR="006E2271">
        <w:t xml:space="preserve">. </w:t>
      </w:r>
      <w:bookmarkStart w:id="2" w:name="_Hlk94000083"/>
    </w:p>
    <w:tbl>
      <w:tblPr>
        <w:tblStyle w:val="TableGrid1"/>
        <w:tblW w:w="0" w:type="auto"/>
        <w:jc w:val="center"/>
        <w:tblLook w:val="04A0" w:firstRow="1" w:lastRow="0" w:firstColumn="1" w:lastColumn="0" w:noHBand="0" w:noVBand="1"/>
      </w:tblPr>
      <w:tblGrid>
        <w:gridCol w:w="3116"/>
        <w:gridCol w:w="3269"/>
        <w:gridCol w:w="2965"/>
      </w:tblGrid>
      <w:tr w:rsidR="0022730D" w:rsidRPr="00CA69BC" w14:paraId="23BF9733" w14:textId="77777777" w:rsidTr="005D4760">
        <w:trPr>
          <w:trHeight w:val="288"/>
          <w:tblHeader/>
          <w:jc w:val="center"/>
        </w:trPr>
        <w:tc>
          <w:tcPr>
            <w:tcW w:w="9350" w:type="dxa"/>
            <w:gridSpan w:val="3"/>
            <w:tcBorders>
              <w:bottom w:val="single" w:sz="4" w:space="0" w:color="auto"/>
            </w:tcBorders>
            <w:shd w:val="clear" w:color="auto" w:fill="007FB2"/>
            <w:vAlign w:val="center"/>
          </w:tcPr>
          <w:bookmarkEnd w:id="2"/>
          <w:p w14:paraId="42647A96" w14:textId="65D9E530" w:rsidR="0022730D" w:rsidRPr="00E376B3" w:rsidRDefault="005D4760" w:rsidP="00237C3B">
            <w:pPr>
              <w:rPr>
                <w:rFonts w:cs="Arial"/>
                <w:b/>
                <w:bCs/>
                <w:color w:val="FFFFFF" w:themeColor="background1"/>
                <w:sz w:val="20"/>
                <w:szCs w:val="20"/>
                <w:vertAlign w:val="superscript"/>
              </w:rPr>
            </w:pPr>
            <w:r w:rsidRPr="00CA69BC">
              <w:rPr>
                <w:rFonts w:cs="Arial"/>
                <w:b/>
                <w:bCs/>
                <w:color w:val="FFFFFF" w:themeColor="background1"/>
                <w:sz w:val="20"/>
                <w:szCs w:val="20"/>
              </w:rPr>
              <w:t>Table 5-</w:t>
            </w:r>
            <w:r>
              <w:rPr>
                <w:rFonts w:cs="Arial"/>
                <w:b/>
                <w:bCs/>
                <w:color w:val="FFFFFF" w:themeColor="background1"/>
                <w:sz w:val="20"/>
                <w:szCs w:val="20"/>
              </w:rPr>
              <w:fldChar w:fldCharType="begin"/>
            </w:r>
            <w:r>
              <w:rPr>
                <w:rFonts w:cs="Arial"/>
                <w:b/>
                <w:bCs/>
                <w:color w:val="FFFFFF" w:themeColor="background1"/>
                <w:sz w:val="20"/>
                <w:szCs w:val="20"/>
              </w:rPr>
              <w:instrText xml:space="preserve"> SEQ Table \* MERGEFORMAT </w:instrText>
            </w:r>
            <w:r>
              <w:rPr>
                <w:rFonts w:cs="Arial"/>
                <w:b/>
                <w:bCs/>
                <w:color w:val="FFFFFF" w:themeColor="background1"/>
                <w:sz w:val="20"/>
                <w:szCs w:val="20"/>
              </w:rPr>
              <w:fldChar w:fldCharType="separate"/>
            </w:r>
            <w:r>
              <w:rPr>
                <w:rFonts w:cs="Arial"/>
                <w:b/>
                <w:bCs/>
                <w:noProof/>
                <w:color w:val="FFFFFF" w:themeColor="background1"/>
                <w:sz w:val="20"/>
                <w:szCs w:val="20"/>
              </w:rPr>
              <w:t>3</w:t>
            </w:r>
            <w:r>
              <w:rPr>
                <w:rFonts w:cs="Arial"/>
                <w:b/>
                <w:bCs/>
                <w:color w:val="FFFFFF" w:themeColor="background1"/>
                <w:sz w:val="20"/>
                <w:szCs w:val="20"/>
              </w:rPr>
              <w:fldChar w:fldCharType="end"/>
            </w:r>
            <w:r w:rsidR="00CA69BC">
              <w:rPr>
                <w:rFonts w:cs="Arial"/>
                <w:b/>
                <w:bCs/>
                <w:color w:val="FFFFFF" w:themeColor="background1"/>
                <w:sz w:val="20"/>
                <w:szCs w:val="20"/>
              </w:rPr>
              <w:t>.</w:t>
            </w:r>
            <w:r w:rsidR="0022730D" w:rsidRPr="00CA69BC">
              <w:rPr>
                <w:rFonts w:cs="Arial"/>
                <w:b/>
                <w:bCs/>
                <w:color w:val="FFFFFF" w:themeColor="background1"/>
                <w:sz w:val="20"/>
                <w:szCs w:val="20"/>
              </w:rPr>
              <w:t xml:space="preserve"> Existing Land Use 2016</w:t>
            </w:r>
            <w:r w:rsidR="000747C3">
              <w:rPr>
                <w:rFonts w:cs="Arial"/>
                <w:b/>
                <w:bCs/>
                <w:color w:val="FFFFFF" w:themeColor="background1"/>
                <w:sz w:val="20"/>
                <w:szCs w:val="20"/>
                <w:vertAlign w:val="superscript"/>
              </w:rPr>
              <w:t>a</w:t>
            </w:r>
          </w:p>
        </w:tc>
      </w:tr>
      <w:tr w:rsidR="0022730D" w:rsidRPr="00CA69BC" w14:paraId="1DED5C8F" w14:textId="77777777" w:rsidTr="00E376B3">
        <w:trPr>
          <w:trHeight w:val="288"/>
          <w:jc w:val="center"/>
        </w:trPr>
        <w:tc>
          <w:tcPr>
            <w:tcW w:w="3116" w:type="dxa"/>
            <w:shd w:val="clear" w:color="auto" w:fill="007FB2"/>
            <w:vAlign w:val="center"/>
          </w:tcPr>
          <w:p w14:paraId="081836AE" w14:textId="77777777" w:rsidR="0022730D" w:rsidRPr="00E376B3" w:rsidRDefault="0022730D" w:rsidP="00E376B3">
            <w:pPr>
              <w:jc w:val="center"/>
              <w:rPr>
                <w:b/>
                <w:bCs/>
                <w:color w:val="FFFFFF" w:themeColor="background1"/>
                <w:sz w:val="20"/>
                <w:szCs w:val="20"/>
              </w:rPr>
            </w:pPr>
            <w:proofErr w:type="spellStart"/>
            <w:r w:rsidRPr="00E376B3">
              <w:rPr>
                <w:b/>
                <w:bCs/>
                <w:color w:val="FFFFFF" w:themeColor="background1"/>
                <w:sz w:val="20"/>
                <w:szCs w:val="20"/>
              </w:rPr>
              <w:t>MassGIS</w:t>
            </w:r>
            <w:proofErr w:type="spellEnd"/>
            <w:r w:rsidRPr="00E376B3">
              <w:rPr>
                <w:b/>
                <w:bCs/>
                <w:color w:val="FFFFFF" w:themeColor="background1"/>
                <w:sz w:val="20"/>
                <w:szCs w:val="20"/>
              </w:rPr>
              <w:t xml:space="preserve"> Land Use Code (2016)</w:t>
            </w:r>
          </w:p>
        </w:tc>
        <w:tc>
          <w:tcPr>
            <w:tcW w:w="3269" w:type="dxa"/>
            <w:shd w:val="clear" w:color="auto" w:fill="007FB2"/>
            <w:vAlign w:val="center"/>
          </w:tcPr>
          <w:p w14:paraId="23F658B3" w14:textId="77777777" w:rsidR="0022730D" w:rsidRPr="00E376B3" w:rsidRDefault="0022730D" w:rsidP="00E376B3">
            <w:pPr>
              <w:jc w:val="center"/>
              <w:rPr>
                <w:b/>
                <w:bCs/>
                <w:color w:val="FFFFFF" w:themeColor="background1"/>
                <w:sz w:val="20"/>
                <w:szCs w:val="20"/>
              </w:rPr>
            </w:pPr>
            <w:r w:rsidRPr="00E376B3">
              <w:rPr>
                <w:b/>
                <w:bCs/>
                <w:color w:val="FFFFFF" w:themeColor="background1"/>
                <w:sz w:val="20"/>
                <w:szCs w:val="20"/>
              </w:rPr>
              <w:t>Mass GIS Land Use Name (2016)</w:t>
            </w:r>
          </w:p>
        </w:tc>
        <w:tc>
          <w:tcPr>
            <w:tcW w:w="2965" w:type="dxa"/>
            <w:shd w:val="clear" w:color="auto" w:fill="007FB2"/>
            <w:vAlign w:val="center"/>
          </w:tcPr>
          <w:p w14:paraId="3CB59A4D" w14:textId="5BEEF0C9" w:rsidR="0022730D" w:rsidRPr="00E376B3" w:rsidRDefault="0022730D" w:rsidP="00E376B3">
            <w:pPr>
              <w:jc w:val="center"/>
              <w:rPr>
                <w:b/>
                <w:bCs/>
                <w:color w:val="FFFFFF" w:themeColor="background1"/>
                <w:sz w:val="20"/>
                <w:szCs w:val="20"/>
              </w:rPr>
            </w:pPr>
            <w:r w:rsidRPr="00E376B3">
              <w:rPr>
                <w:b/>
                <w:bCs/>
                <w:color w:val="FFFFFF" w:themeColor="background1"/>
                <w:sz w:val="20"/>
                <w:szCs w:val="20"/>
              </w:rPr>
              <w:t>Mashpee Land Area (Acres)</w:t>
            </w:r>
          </w:p>
        </w:tc>
      </w:tr>
      <w:tr w:rsidR="0022730D" w:rsidRPr="00CA69BC" w14:paraId="0329C4B9"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36049299" w14:textId="77777777" w:rsidR="0022730D" w:rsidRPr="00CA69BC" w:rsidRDefault="0022730D" w:rsidP="00237C3B">
            <w:pPr>
              <w:jc w:val="center"/>
              <w:rPr>
                <w:sz w:val="20"/>
                <w:szCs w:val="20"/>
              </w:rPr>
            </w:pPr>
            <w:r w:rsidRPr="00CA69BC">
              <w:rPr>
                <w:color w:val="262626" w:themeColor="text1" w:themeTint="D9"/>
                <w:sz w:val="20"/>
                <w:szCs w:val="20"/>
              </w:rPr>
              <w:t>7</w:t>
            </w:r>
          </w:p>
        </w:tc>
        <w:tc>
          <w:tcPr>
            <w:tcW w:w="3269" w:type="dxa"/>
            <w:tcBorders>
              <w:top w:val="single" w:sz="4" w:space="0" w:color="auto"/>
              <w:left w:val="single" w:sz="4" w:space="0" w:color="auto"/>
              <w:bottom w:val="single" w:sz="4" w:space="0" w:color="auto"/>
              <w:right w:val="single" w:sz="4" w:space="0" w:color="auto"/>
            </w:tcBorders>
            <w:vAlign w:val="center"/>
          </w:tcPr>
          <w:p w14:paraId="6878B758" w14:textId="77777777" w:rsidR="0022730D" w:rsidRPr="00CA69BC" w:rsidRDefault="0022730D" w:rsidP="00237C3B">
            <w:pPr>
              <w:jc w:val="center"/>
              <w:rPr>
                <w:sz w:val="20"/>
                <w:szCs w:val="20"/>
              </w:rPr>
            </w:pPr>
            <w:r w:rsidRPr="00CA69BC">
              <w:rPr>
                <w:color w:val="262626" w:themeColor="text1" w:themeTint="D9"/>
                <w:sz w:val="20"/>
                <w:szCs w:val="20"/>
              </w:rPr>
              <w:t>Agriculture</w:t>
            </w:r>
          </w:p>
        </w:tc>
        <w:tc>
          <w:tcPr>
            <w:tcW w:w="2965" w:type="dxa"/>
            <w:tcBorders>
              <w:top w:val="single" w:sz="4" w:space="0" w:color="auto"/>
              <w:left w:val="single" w:sz="4" w:space="0" w:color="auto"/>
              <w:bottom w:val="single" w:sz="4" w:space="0" w:color="auto"/>
              <w:right w:val="single" w:sz="4" w:space="0" w:color="auto"/>
            </w:tcBorders>
          </w:tcPr>
          <w:p w14:paraId="7A1E9AE9" w14:textId="733A4916" w:rsidR="0022730D" w:rsidRPr="00CA69BC" w:rsidRDefault="00E24842" w:rsidP="00C22DD0">
            <w:pPr>
              <w:jc w:val="center"/>
              <w:rPr>
                <w:sz w:val="20"/>
                <w:szCs w:val="20"/>
              </w:rPr>
            </w:pPr>
            <w:r w:rsidRPr="00CA69BC">
              <w:rPr>
                <w:sz w:val="20"/>
                <w:szCs w:val="20"/>
              </w:rPr>
              <w:t>40.6</w:t>
            </w:r>
          </w:p>
        </w:tc>
      </w:tr>
      <w:tr w:rsidR="0022730D" w:rsidRPr="00CA69BC" w14:paraId="1D6FAE6A"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746CAC38" w14:textId="77777777" w:rsidR="0022730D" w:rsidRPr="00CA69BC" w:rsidRDefault="0022730D" w:rsidP="00237C3B">
            <w:pPr>
              <w:jc w:val="center"/>
              <w:rPr>
                <w:sz w:val="20"/>
                <w:szCs w:val="20"/>
              </w:rPr>
            </w:pPr>
            <w:r w:rsidRPr="00CA69BC">
              <w:rPr>
                <w:color w:val="262626" w:themeColor="text1" w:themeTint="D9"/>
                <w:sz w:val="20"/>
                <w:szCs w:val="20"/>
              </w:rPr>
              <w:t>3</w:t>
            </w:r>
          </w:p>
        </w:tc>
        <w:tc>
          <w:tcPr>
            <w:tcW w:w="3269" w:type="dxa"/>
            <w:tcBorders>
              <w:top w:val="single" w:sz="4" w:space="0" w:color="auto"/>
              <w:left w:val="single" w:sz="4" w:space="0" w:color="auto"/>
              <w:bottom w:val="single" w:sz="4" w:space="0" w:color="auto"/>
              <w:right w:val="single" w:sz="4" w:space="0" w:color="auto"/>
            </w:tcBorders>
            <w:vAlign w:val="center"/>
          </w:tcPr>
          <w:p w14:paraId="0817D756" w14:textId="06C21C1C"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Commercial</w:t>
            </w:r>
          </w:p>
        </w:tc>
        <w:tc>
          <w:tcPr>
            <w:tcW w:w="2965" w:type="dxa"/>
            <w:tcBorders>
              <w:top w:val="single" w:sz="4" w:space="0" w:color="auto"/>
              <w:left w:val="single" w:sz="4" w:space="0" w:color="auto"/>
              <w:bottom w:val="single" w:sz="4" w:space="0" w:color="auto"/>
              <w:right w:val="single" w:sz="4" w:space="0" w:color="auto"/>
            </w:tcBorders>
          </w:tcPr>
          <w:p w14:paraId="15ACB385" w14:textId="1E12CB5A" w:rsidR="0022730D" w:rsidRPr="00CA69BC" w:rsidRDefault="00E24842" w:rsidP="00C22DD0">
            <w:pPr>
              <w:jc w:val="center"/>
              <w:rPr>
                <w:rFonts w:cstheme="minorHAnsi"/>
                <w:sz w:val="20"/>
                <w:szCs w:val="20"/>
              </w:rPr>
            </w:pPr>
            <w:r w:rsidRPr="00CA69BC">
              <w:rPr>
                <w:rFonts w:cstheme="minorHAnsi"/>
                <w:sz w:val="20"/>
                <w:szCs w:val="20"/>
              </w:rPr>
              <w:t>1</w:t>
            </w:r>
            <w:r w:rsidR="00514429" w:rsidRPr="00CA69BC">
              <w:rPr>
                <w:rFonts w:cstheme="minorHAnsi"/>
                <w:sz w:val="20"/>
                <w:szCs w:val="20"/>
              </w:rPr>
              <w:t>,</w:t>
            </w:r>
            <w:r w:rsidRPr="00CA69BC">
              <w:rPr>
                <w:rFonts w:cstheme="minorHAnsi"/>
                <w:sz w:val="20"/>
                <w:szCs w:val="20"/>
              </w:rPr>
              <w:t>000.</w:t>
            </w:r>
            <w:r w:rsidR="000747C3">
              <w:rPr>
                <w:rFonts w:cstheme="minorHAnsi"/>
                <w:sz w:val="20"/>
                <w:szCs w:val="20"/>
              </w:rPr>
              <w:t>2</w:t>
            </w:r>
          </w:p>
        </w:tc>
      </w:tr>
      <w:tr w:rsidR="0022730D" w:rsidRPr="00CA69BC" w14:paraId="0E7986EF"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189FE6ED" w14:textId="77777777" w:rsidR="0022730D" w:rsidRPr="00CA69BC" w:rsidRDefault="0022730D" w:rsidP="00237C3B">
            <w:pPr>
              <w:jc w:val="center"/>
              <w:rPr>
                <w:sz w:val="20"/>
                <w:szCs w:val="20"/>
              </w:rPr>
            </w:pPr>
            <w:r w:rsidRPr="00CA69BC">
              <w:rPr>
                <w:color w:val="262626" w:themeColor="text1" w:themeTint="D9"/>
                <w:sz w:val="20"/>
                <w:szCs w:val="20"/>
              </w:rPr>
              <w:t>4</w:t>
            </w:r>
          </w:p>
        </w:tc>
        <w:tc>
          <w:tcPr>
            <w:tcW w:w="3269" w:type="dxa"/>
            <w:tcBorders>
              <w:top w:val="single" w:sz="4" w:space="0" w:color="auto"/>
              <w:left w:val="single" w:sz="4" w:space="0" w:color="auto"/>
              <w:bottom w:val="single" w:sz="4" w:space="0" w:color="auto"/>
              <w:right w:val="single" w:sz="4" w:space="0" w:color="auto"/>
            </w:tcBorders>
            <w:vAlign w:val="center"/>
          </w:tcPr>
          <w:p w14:paraId="496ABFA7" w14:textId="77777777"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Industrial</w:t>
            </w:r>
          </w:p>
        </w:tc>
        <w:tc>
          <w:tcPr>
            <w:tcW w:w="2965" w:type="dxa"/>
            <w:tcBorders>
              <w:top w:val="single" w:sz="4" w:space="0" w:color="auto"/>
              <w:left w:val="single" w:sz="4" w:space="0" w:color="auto"/>
              <w:bottom w:val="single" w:sz="4" w:space="0" w:color="auto"/>
              <w:right w:val="single" w:sz="4" w:space="0" w:color="auto"/>
            </w:tcBorders>
          </w:tcPr>
          <w:p w14:paraId="1F47544B" w14:textId="521006FF" w:rsidR="0022730D" w:rsidRPr="00CA69BC" w:rsidRDefault="00E24842" w:rsidP="00C22DD0">
            <w:pPr>
              <w:jc w:val="center"/>
              <w:rPr>
                <w:rFonts w:cstheme="minorHAnsi"/>
                <w:sz w:val="20"/>
                <w:szCs w:val="20"/>
              </w:rPr>
            </w:pPr>
            <w:r w:rsidRPr="00CA69BC">
              <w:rPr>
                <w:rFonts w:cstheme="minorHAnsi"/>
                <w:sz w:val="20"/>
                <w:szCs w:val="20"/>
              </w:rPr>
              <w:t>121.7</w:t>
            </w:r>
          </w:p>
        </w:tc>
      </w:tr>
      <w:tr w:rsidR="0022730D" w:rsidRPr="00CA69BC" w14:paraId="65BF7766"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673A2F73" w14:textId="77777777" w:rsidR="0022730D" w:rsidRPr="00CA69BC" w:rsidRDefault="0022730D" w:rsidP="00237C3B">
            <w:pPr>
              <w:jc w:val="center"/>
              <w:rPr>
                <w:sz w:val="20"/>
                <w:szCs w:val="20"/>
              </w:rPr>
            </w:pPr>
            <w:r w:rsidRPr="00CA69BC">
              <w:rPr>
                <w:color w:val="262626" w:themeColor="text1" w:themeTint="D9"/>
                <w:sz w:val="20"/>
                <w:szCs w:val="20"/>
              </w:rPr>
              <w:t>10</w:t>
            </w:r>
          </w:p>
        </w:tc>
        <w:tc>
          <w:tcPr>
            <w:tcW w:w="3269" w:type="dxa"/>
            <w:tcBorders>
              <w:top w:val="single" w:sz="4" w:space="0" w:color="auto"/>
              <w:left w:val="single" w:sz="4" w:space="0" w:color="auto"/>
              <w:bottom w:val="single" w:sz="4" w:space="0" w:color="auto"/>
              <w:right w:val="single" w:sz="4" w:space="0" w:color="auto"/>
            </w:tcBorders>
            <w:vAlign w:val="center"/>
          </w:tcPr>
          <w:p w14:paraId="3E3B4A8F" w14:textId="5FBD0DF9"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Mixed use, primarily residential</w:t>
            </w:r>
          </w:p>
        </w:tc>
        <w:tc>
          <w:tcPr>
            <w:tcW w:w="2965" w:type="dxa"/>
            <w:tcBorders>
              <w:top w:val="single" w:sz="4" w:space="0" w:color="auto"/>
              <w:left w:val="single" w:sz="4" w:space="0" w:color="auto"/>
              <w:bottom w:val="single" w:sz="4" w:space="0" w:color="auto"/>
              <w:right w:val="single" w:sz="4" w:space="0" w:color="auto"/>
            </w:tcBorders>
          </w:tcPr>
          <w:p w14:paraId="03A82C7D" w14:textId="4BE95388" w:rsidR="0022730D" w:rsidRPr="00CA69BC" w:rsidRDefault="00E24842" w:rsidP="00C22DD0">
            <w:pPr>
              <w:jc w:val="center"/>
              <w:rPr>
                <w:rFonts w:cstheme="minorHAnsi"/>
                <w:sz w:val="20"/>
                <w:szCs w:val="20"/>
              </w:rPr>
            </w:pPr>
            <w:r w:rsidRPr="00CA69BC">
              <w:rPr>
                <w:rFonts w:cstheme="minorHAnsi"/>
                <w:sz w:val="20"/>
                <w:szCs w:val="20"/>
              </w:rPr>
              <w:t>56.</w:t>
            </w:r>
            <w:r w:rsidR="000747C3">
              <w:rPr>
                <w:rFonts w:cstheme="minorHAnsi"/>
                <w:sz w:val="20"/>
                <w:szCs w:val="20"/>
              </w:rPr>
              <w:t>2</w:t>
            </w:r>
          </w:p>
        </w:tc>
      </w:tr>
      <w:tr w:rsidR="0022730D" w:rsidRPr="00CA69BC" w14:paraId="1E6865A6"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7D546289" w14:textId="77777777" w:rsidR="0022730D" w:rsidRPr="00CA69BC" w:rsidRDefault="0022730D" w:rsidP="00237C3B">
            <w:pPr>
              <w:jc w:val="center"/>
              <w:rPr>
                <w:sz w:val="20"/>
                <w:szCs w:val="20"/>
              </w:rPr>
            </w:pPr>
            <w:r w:rsidRPr="00CA69BC">
              <w:rPr>
                <w:color w:val="262626" w:themeColor="text1" w:themeTint="D9"/>
                <w:sz w:val="20"/>
                <w:szCs w:val="20"/>
              </w:rPr>
              <w:t>2</w:t>
            </w:r>
          </w:p>
        </w:tc>
        <w:tc>
          <w:tcPr>
            <w:tcW w:w="3269" w:type="dxa"/>
            <w:tcBorders>
              <w:top w:val="single" w:sz="4" w:space="0" w:color="auto"/>
              <w:left w:val="single" w:sz="4" w:space="0" w:color="auto"/>
              <w:bottom w:val="single" w:sz="4" w:space="0" w:color="auto"/>
              <w:right w:val="single" w:sz="4" w:space="0" w:color="auto"/>
            </w:tcBorders>
            <w:vAlign w:val="center"/>
          </w:tcPr>
          <w:p w14:paraId="295523D9" w14:textId="72CE0550"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Open Land</w:t>
            </w:r>
          </w:p>
        </w:tc>
        <w:tc>
          <w:tcPr>
            <w:tcW w:w="2965" w:type="dxa"/>
            <w:tcBorders>
              <w:top w:val="single" w:sz="4" w:space="0" w:color="auto"/>
              <w:left w:val="single" w:sz="4" w:space="0" w:color="auto"/>
              <w:bottom w:val="single" w:sz="4" w:space="0" w:color="auto"/>
              <w:right w:val="single" w:sz="4" w:space="0" w:color="auto"/>
            </w:tcBorders>
          </w:tcPr>
          <w:p w14:paraId="424CFBE5" w14:textId="51365BA7" w:rsidR="0022730D" w:rsidRPr="00CA69BC" w:rsidRDefault="00E24842" w:rsidP="00C22DD0">
            <w:pPr>
              <w:jc w:val="center"/>
              <w:rPr>
                <w:rFonts w:cstheme="minorHAnsi"/>
                <w:sz w:val="20"/>
                <w:szCs w:val="20"/>
              </w:rPr>
            </w:pPr>
            <w:r w:rsidRPr="00CA69BC">
              <w:rPr>
                <w:rFonts w:cstheme="minorHAnsi"/>
                <w:sz w:val="20"/>
                <w:szCs w:val="20"/>
              </w:rPr>
              <w:t>5</w:t>
            </w:r>
            <w:r w:rsidR="00514429" w:rsidRPr="00CA69BC">
              <w:rPr>
                <w:rFonts w:cstheme="minorHAnsi"/>
                <w:sz w:val="20"/>
                <w:szCs w:val="20"/>
              </w:rPr>
              <w:t>,</w:t>
            </w:r>
            <w:r w:rsidRPr="00CA69BC">
              <w:rPr>
                <w:rFonts w:cstheme="minorHAnsi"/>
                <w:sz w:val="20"/>
                <w:szCs w:val="20"/>
              </w:rPr>
              <w:t>030.9</w:t>
            </w:r>
          </w:p>
        </w:tc>
      </w:tr>
      <w:tr w:rsidR="0022730D" w:rsidRPr="00CA69BC" w14:paraId="78216D6C"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26104289" w14:textId="77777777" w:rsidR="0022730D" w:rsidRPr="00CA69BC" w:rsidRDefault="0022730D" w:rsidP="00237C3B">
            <w:pPr>
              <w:jc w:val="center"/>
              <w:rPr>
                <w:sz w:val="20"/>
                <w:szCs w:val="20"/>
              </w:rPr>
            </w:pPr>
            <w:r w:rsidRPr="00CA69BC">
              <w:rPr>
                <w:color w:val="262626" w:themeColor="text1" w:themeTint="D9"/>
                <w:sz w:val="20"/>
                <w:szCs w:val="20"/>
              </w:rPr>
              <w:t>8</w:t>
            </w:r>
          </w:p>
        </w:tc>
        <w:tc>
          <w:tcPr>
            <w:tcW w:w="3269" w:type="dxa"/>
            <w:tcBorders>
              <w:top w:val="single" w:sz="4" w:space="0" w:color="auto"/>
              <w:left w:val="single" w:sz="4" w:space="0" w:color="auto"/>
              <w:bottom w:val="single" w:sz="4" w:space="0" w:color="auto"/>
              <w:right w:val="single" w:sz="4" w:space="0" w:color="auto"/>
            </w:tcBorders>
            <w:vAlign w:val="center"/>
          </w:tcPr>
          <w:p w14:paraId="58D54235" w14:textId="77777777"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Recreation</w:t>
            </w:r>
          </w:p>
        </w:tc>
        <w:tc>
          <w:tcPr>
            <w:tcW w:w="2965" w:type="dxa"/>
            <w:tcBorders>
              <w:top w:val="single" w:sz="4" w:space="0" w:color="auto"/>
              <w:left w:val="single" w:sz="4" w:space="0" w:color="auto"/>
              <w:bottom w:val="single" w:sz="4" w:space="0" w:color="auto"/>
              <w:right w:val="single" w:sz="4" w:space="0" w:color="auto"/>
            </w:tcBorders>
          </w:tcPr>
          <w:p w14:paraId="0859CD30" w14:textId="2D66E7F1" w:rsidR="0022730D" w:rsidRPr="00CA69BC" w:rsidRDefault="00E24842" w:rsidP="00C22DD0">
            <w:pPr>
              <w:jc w:val="center"/>
              <w:rPr>
                <w:rFonts w:cstheme="minorHAnsi"/>
                <w:sz w:val="20"/>
                <w:szCs w:val="20"/>
              </w:rPr>
            </w:pPr>
            <w:r w:rsidRPr="00CA69BC">
              <w:rPr>
                <w:rFonts w:cstheme="minorHAnsi"/>
                <w:sz w:val="20"/>
                <w:szCs w:val="20"/>
              </w:rPr>
              <w:t>176.</w:t>
            </w:r>
            <w:r w:rsidR="000747C3">
              <w:rPr>
                <w:rFonts w:cstheme="minorHAnsi"/>
                <w:sz w:val="20"/>
                <w:szCs w:val="20"/>
              </w:rPr>
              <w:t>7</w:t>
            </w:r>
          </w:p>
        </w:tc>
      </w:tr>
      <w:tr w:rsidR="0022730D" w:rsidRPr="00CA69BC" w14:paraId="0CEFB003"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356FB0E9" w14:textId="77777777" w:rsidR="0022730D" w:rsidRPr="00CA69BC" w:rsidRDefault="0022730D" w:rsidP="00237C3B">
            <w:pPr>
              <w:jc w:val="center"/>
              <w:rPr>
                <w:sz w:val="20"/>
                <w:szCs w:val="20"/>
              </w:rPr>
            </w:pPr>
            <w:r w:rsidRPr="00CA69BC">
              <w:rPr>
                <w:color w:val="262626" w:themeColor="text1" w:themeTint="D9"/>
                <w:sz w:val="20"/>
                <w:szCs w:val="20"/>
              </w:rPr>
              <w:t>12</w:t>
            </w:r>
          </w:p>
        </w:tc>
        <w:tc>
          <w:tcPr>
            <w:tcW w:w="3269" w:type="dxa"/>
            <w:tcBorders>
              <w:top w:val="single" w:sz="4" w:space="0" w:color="auto"/>
              <w:left w:val="single" w:sz="4" w:space="0" w:color="auto"/>
              <w:bottom w:val="single" w:sz="4" w:space="0" w:color="auto"/>
              <w:right w:val="single" w:sz="4" w:space="0" w:color="auto"/>
            </w:tcBorders>
            <w:vAlign w:val="center"/>
          </w:tcPr>
          <w:p w14:paraId="18E2AB0C" w14:textId="64AEB191"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Residential – multi-family</w:t>
            </w:r>
          </w:p>
        </w:tc>
        <w:tc>
          <w:tcPr>
            <w:tcW w:w="2965" w:type="dxa"/>
            <w:tcBorders>
              <w:top w:val="single" w:sz="4" w:space="0" w:color="auto"/>
              <w:left w:val="single" w:sz="4" w:space="0" w:color="auto"/>
              <w:bottom w:val="single" w:sz="4" w:space="0" w:color="auto"/>
              <w:right w:val="single" w:sz="4" w:space="0" w:color="auto"/>
            </w:tcBorders>
          </w:tcPr>
          <w:p w14:paraId="4AC89B03" w14:textId="5FDCCCF5" w:rsidR="0022730D" w:rsidRPr="00CA69BC" w:rsidRDefault="00E24842" w:rsidP="00C22DD0">
            <w:pPr>
              <w:jc w:val="center"/>
              <w:rPr>
                <w:rFonts w:cstheme="minorHAnsi"/>
                <w:sz w:val="20"/>
                <w:szCs w:val="20"/>
              </w:rPr>
            </w:pPr>
            <w:r w:rsidRPr="00CA69BC">
              <w:rPr>
                <w:rFonts w:cstheme="minorHAnsi"/>
                <w:sz w:val="20"/>
                <w:szCs w:val="20"/>
              </w:rPr>
              <w:t>94</w:t>
            </w:r>
            <w:r w:rsidR="000747C3">
              <w:rPr>
                <w:rFonts w:cstheme="minorHAnsi"/>
                <w:sz w:val="20"/>
                <w:szCs w:val="20"/>
              </w:rPr>
              <w:t>8.0</w:t>
            </w:r>
          </w:p>
        </w:tc>
      </w:tr>
      <w:tr w:rsidR="0022730D" w:rsidRPr="00CA69BC" w14:paraId="4CD0D4E5"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62402879" w14:textId="77777777"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13</w:t>
            </w:r>
          </w:p>
        </w:tc>
        <w:tc>
          <w:tcPr>
            <w:tcW w:w="3269" w:type="dxa"/>
            <w:tcBorders>
              <w:top w:val="single" w:sz="4" w:space="0" w:color="auto"/>
              <w:left w:val="single" w:sz="4" w:space="0" w:color="auto"/>
              <w:bottom w:val="single" w:sz="4" w:space="0" w:color="auto"/>
              <w:right w:val="single" w:sz="4" w:space="0" w:color="auto"/>
            </w:tcBorders>
            <w:vAlign w:val="center"/>
          </w:tcPr>
          <w:p w14:paraId="525D8B70" w14:textId="77777777"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Residential - other</w:t>
            </w:r>
          </w:p>
        </w:tc>
        <w:tc>
          <w:tcPr>
            <w:tcW w:w="2965" w:type="dxa"/>
            <w:tcBorders>
              <w:top w:val="single" w:sz="4" w:space="0" w:color="auto"/>
              <w:left w:val="single" w:sz="4" w:space="0" w:color="auto"/>
              <w:bottom w:val="single" w:sz="4" w:space="0" w:color="auto"/>
              <w:right w:val="single" w:sz="4" w:space="0" w:color="auto"/>
            </w:tcBorders>
          </w:tcPr>
          <w:p w14:paraId="69BB2D96" w14:textId="34AFCCFD" w:rsidR="0022730D" w:rsidRPr="00CA69BC" w:rsidRDefault="00E24842" w:rsidP="00C22DD0">
            <w:pPr>
              <w:jc w:val="center"/>
              <w:rPr>
                <w:rFonts w:cstheme="minorHAnsi"/>
                <w:sz w:val="20"/>
                <w:szCs w:val="20"/>
              </w:rPr>
            </w:pPr>
            <w:r w:rsidRPr="00CA69BC">
              <w:rPr>
                <w:rFonts w:cstheme="minorHAnsi"/>
                <w:sz w:val="20"/>
                <w:szCs w:val="20"/>
              </w:rPr>
              <w:t>44.</w:t>
            </w:r>
            <w:r w:rsidR="000747C3">
              <w:rPr>
                <w:rFonts w:cstheme="minorHAnsi"/>
                <w:sz w:val="20"/>
                <w:szCs w:val="20"/>
              </w:rPr>
              <w:t>4</w:t>
            </w:r>
          </w:p>
        </w:tc>
      </w:tr>
      <w:tr w:rsidR="0022730D" w:rsidRPr="00CA69BC" w14:paraId="454B4DED"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02842345" w14:textId="77777777" w:rsidR="0022730D" w:rsidRPr="00CA69BC" w:rsidRDefault="0022730D" w:rsidP="00237C3B">
            <w:pPr>
              <w:jc w:val="center"/>
              <w:rPr>
                <w:sz w:val="20"/>
                <w:szCs w:val="20"/>
              </w:rPr>
            </w:pPr>
            <w:r w:rsidRPr="00CA69BC">
              <w:rPr>
                <w:color w:val="262626" w:themeColor="text1" w:themeTint="D9"/>
                <w:sz w:val="20"/>
                <w:szCs w:val="20"/>
              </w:rPr>
              <w:t>11</w:t>
            </w:r>
          </w:p>
        </w:tc>
        <w:tc>
          <w:tcPr>
            <w:tcW w:w="3269" w:type="dxa"/>
            <w:tcBorders>
              <w:top w:val="single" w:sz="4" w:space="0" w:color="auto"/>
              <w:left w:val="single" w:sz="4" w:space="0" w:color="auto"/>
              <w:bottom w:val="single" w:sz="4" w:space="0" w:color="auto"/>
              <w:right w:val="single" w:sz="4" w:space="0" w:color="auto"/>
            </w:tcBorders>
            <w:vAlign w:val="center"/>
          </w:tcPr>
          <w:p w14:paraId="2249CBE2" w14:textId="77777777"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Residential – single-family</w:t>
            </w:r>
          </w:p>
        </w:tc>
        <w:tc>
          <w:tcPr>
            <w:tcW w:w="2965" w:type="dxa"/>
            <w:tcBorders>
              <w:top w:val="single" w:sz="4" w:space="0" w:color="auto"/>
              <w:left w:val="single" w:sz="4" w:space="0" w:color="auto"/>
              <w:bottom w:val="single" w:sz="4" w:space="0" w:color="auto"/>
              <w:right w:val="single" w:sz="4" w:space="0" w:color="auto"/>
            </w:tcBorders>
          </w:tcPr>
          <w:p w14:paraId="041F7154" w14:textId="5757D4A9" w:rsidR="0022730D" w:rsidRPr="00CA69BC" w:rsidRDefault="00E24842" w:rsidP="00C22DD0">
            <w:pPr>
              <w:jc w:val="center"/>
              <w:rPr>
                <w:rFonts w:cstheme="minorHAnsi"/>
                <w:sz w:val="20"/>
                <w:szCs w:val="20"/>
              </w:rPr>
            </w:pPr>
            <w:r w:rsidRPr="00CA69BC">
              <w:rPr>
                <w:rFonts w:cstheme="minorHAnsi"/>
                <w:sz w:val="20"/>
                <w:szCs w:val="20"/>
              </w:rPr>
              <w:t>3</w:t>
            </w:r>
            <w:r w:rsidR="00514429" w:rsidRPr="00CA69BC">
              <w:rPr>
                <w:rFonts w:cstheme="minorHAnsi"/>
                <w:sz w:val="20"/>
                <w:szCs w:val="20"/>
              </w:rPr>
              <w:t>,</w:t>
            </w:r>
            <w:r w:rsidRPr="00CA69BC">
              <w:rPr>
                <w:rFonts w:cstheme="minorHAnsi"/>
                <w:sz w:val="20"/>
                <w:szCs w:val="20"/>
              </w:rPr>
              <w:t>253.2</w:t>
            </w:r>
          </w:p>
        </w:tc>
      </w:tr>
      <w:tr w:rsidR="0022730D" w:rsidRPr="00CA69BC" w14:paraId="0F90BA6B"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74F94F97" w14:textId="77777777" w:rsidR="0022730D" w:rsidRPr="00CA69BC" w:rsidRDefault="0022730D" w:rsidP="00237C3B">
            <w:pPr>
              <w:jc w:val="center"/>
              <w:rPr>
                <w:sz w:val="20"/>
                <w:szCs w:val="20"/>
              </w:rPr>
            </w:pPr>
            <w:r w:rsidRPr="00CA69BC">
              <w:rPr>
                <w:color w:val="262626" w:themeColor="text1" w:themeTint="D9"/>
                <w:sz w:val="20"/>
                <w:szCs w:val="20"/>
              </w:rPr>
              <w:t>55</w:t>
            </w:r>
          </w:p>
        </w:tc>
        <w:tc>
          <w:tcPr>
            <w:tcW w:w="3269" w:type="dxa"/>
            <w:tcBorders>
              <w:top w:val="single" w:sz="4" w:space="0" w:color="auto"/>
              <w:left w:val="single" w:sz="4" w:space="0" w:color="auto"/>
              <w:bottom w:val="single" w:sz="4" w:space="0" w:color="auto"/>
              <w:right w:val="single" w:sz="4" w:space="0" w:color="auto"/>
            </w:tcBorders>
            <w:vAlign w:val="center"/>
          </w:tcPr>
          <w:p w14:paraId="1B6F5389" w14:textId="77777777"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Right-of-way</w:t>
            </w:r>
          </w:p>
        </w:tc>
        <w:tc>
          <w:tcPr>
            <w:tcW w:w="2965" w:type="dxa"/>
            <w:tcBorders>
              <w:top w:val="single" w:sz="4" w:space="0" w:color="auto"/>
              <w:left w:val="single" w:sz="4" w:space="0" w:color="auto"/>
              <w:bottom w:val="single" w:sz="4" w:space="0" w:color="auto"/>
              <w:right w:val="single" w:sz="4" w:space="0" w:color="auto"/>
            </w:tcBorders>
          </w:tcPr>
          <w:p w14:paraId="18E47607" w14:textId="5F862D8F" w:rsidR="0022730D" w:rsidRPr="00CA69BC" w:rsidRDefault="00E24842" w:rsidP="00C22DD0">
            <w:pPr>
              <w:jc w:val="center"/>
              <w:rPr>
                <w:rFonts w:cstheme="minorHAnsi"/>
                <w:sz w:val="20"/>
                <w:szCs w:val="20"/>
              </w:rPr>
            </w:pPr>
            <w:r w:rsidRPr="00CA69BC">
              <w:rPr>
                <w:rFonts w:cstheme="minorHAnsi"/>
                <w:sz w:val="20"/>
                <w:szCs w:val="20"/>
              </w:rPr>
              <w:t>974.7</w:t>
            </w:r>
          </w:p>
        </w:tc>
      </w:tr>
      <w:tr w:rsidR="0022730D" w:rsidRPr="00CA69BC" w14:paraId="10382CA2"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3E4C6679" w14:textId="77777777" w:rsidR="0022730D" w:rsidRPr="00CA69BC" w:rsidRDefault="0022730D" w:rsidP="00237C3B">
            <w:pPr>
              <w:jc w:val="center"/>
              <w:rPr>
                <w:sz w:val="20"/>
                <w:szCs w:val="20"/>
              </w:rPr>
            </w:pPr>
            <w:r w:rsidRPr="00CA69BC">
              <w:rPr>
                <w:color w:val="262626" w:themeColor="text1" w:themeTint="D9"/>
                <w:sz w:val="20"/>
                <w:szCs w:val="20"/>
              </w:rPr>
              <w:t>9</w:t>
            </w:r>
          </w:p>
        </w:tc>
        <w:tc>
          <w:tcPr>
            <w:tcW w:w="3269" w:type="dxa"/>
            <w:tcBorders>
              <w:top w:val="single" w:sz="4" w:space="0" w:color="auto"/>
              <w:left w:val="single" w:sz="4" w:space="0" w:color="auto"/>
              <w:bottom w:val="single" w:sz="4" w:space="0" w:color="auto"/>
              <w:right w:val="single" w:sz="4" w:space="0" w:color="auto"/>
            </w:tcBorders>
            <w:vAlign w:val="center"/>
          </w:tcPr>
          <w:p w14:paraId="1404145D" w14:textId="1CDEE9E9"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Tax exempt</w:t>
            </w:r>
          </w:p>
        </w:tc>
        <w:tc>
          <w:tcPr>
            <w:tcW w:w="2965" w:type="dxa"/>
            <w:tcBorders>
              <w:top w:val="single" w:sz="4" w:space="0" w:color="auto"/>
              <w:left w:val="single" w:sz="4" w:space="0" w:color="auto"/>
              <w:bottom w:val="single" w:sz="4" w:space="0" w:color="auto"/>
              <w:right w:val="single" w:sz="4" w:space="0" w:color="auto"/>
            </w:tcBorders>
          </w:tcPr>
          <w:p w14:paraId="7B8DF68B" w14:textId="398EC2CE" w:rsidR="0022730D" w:rsidRPr="00CA69BC" w:rsidRDefault="00E24842" w:rsidP="00C22DD0">
            <w:pPr>
              <w:jc w:val="center"/>
              <w:rPr>
                <w:rFonts w:cstheme="minorHAnsi"/>
                <w:sz w:val="20"/>
                <w:szCs w:val="20"/>
              </w:rPr>
            </w:pPr>
            <w:r w:rsidRPr="00CA69BC">
              <w:rPr>
                <w:rFonts w:cstheme="minorHAnsi"/>
                <w:sz w:val="20"/>
                <w:szCs w:val="20"/>
              </w:rPr>
              <w:t>3</w:t>
            </w:r>
            <w:r w:rsidR="00514429" w:rsidRPr="00CA69BC">
              <w:rPr>
                <w:rFonts w:cstheme="minorHAnsi"/>
                <w:sz w:val="20"/>
                <w:szCs w:val="20"/>
              </w:rPr>
              <w:t>,</w:t>
            </w:r>
            <w:r w:rsidRPr="00CA69BC">
              <w:rPr>
                <w:rFonts w:cstheme="minorHAnsi"/>
                <w:sz w:val="20"/>
                <w:szCs w:val="20"/>
              </w:rPr>
              <w:t>167.0</w:t>
            </w:r>
          </w:p>
        </w:tc>
      </w:tr>
      <w:tr w:rsidR="0022730D" w:rsidRPr="00CA69BC" w14:paraId="6030336D"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5614F953" w14:textId="77777777" w:rsidR="0022730D" w:rsidRPr="00CA69BC" w:rsidRDefault="0022730D" w:rsidP="00237C3B">
            <w:pPr>
              <w:jc w:val="center"/>
              <w:rPr>
                <w:sz w:val="20"/>
                <w:szCs w:val="20"/>
              </w:rPr>
            </w:pPr>
            <w:r w:rsidRPr="00CA69BC">
              <w:rPr>
                <w:color w:val="262626" w:themeColor="text1" w:themeTint="D9"/>
                <w:sz w:val="20"/>
                <w:szCs w:val="20"/>
              </w:rPr>
              <w:t>0</w:t>
            </w:r>
          </w:p>
        </w:tc>
        <w:tc>
          <w:tcPr>
            <w:tcW w:w="3269" w:type="dxa"/>
            <w:tcBorders>
              <w:top w:val="single" w:sz="4" w:space="0" w:color="auto"/>
              <w:left w:val="single" w:sz="4" w:space="0" w:color="auto"/>
              <w:bottom w:val="single" w:sz="4" w:space="0" w:color="auto"/>
              <w:right w:val="single" w:sz="4" w:space="0" w:color="auto"/>
            </w:tcBorders>
            <w:vAlign w:val="center"/>
          </w:tcPr>
          <w:p w14:paraId="7DADC103" w14:textId="2EC04824"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Unknown</w:t>
            </w:r>
          </w:p>
        </w:tc>
        <w:tc>
          <w:tcPr>
            <w:tcW w:w="2965" w:type="dxa"/>
            <w:tcBorders>
              <w:top w:val="single" w:sz="4" w:space="0" w:color="auto"/>
              <w:left w:val="single" w:sz="4" w:space="0" w:color="auto"/>
              <w:bottom w:val="single" w:sz="4" w:space="0" w:color="auto"/>
              <w:right w:val="single" w:sz="4" w:space="0" w:color="auto"/>
            </w:tcBorders>
          </w:tcPr>
          <w:p w14:paraId="0DD28475" w14:textId="34D43C57" w:rsidR="0022730D" w:rsidRPr="00CA69BC" w:rsidRDefault="00E24842" w:rsidP="00C22DD0">
            <w:pPr>
              <w:jc w:val="center"/>
              <w:rPr>
                <w:rFonts w:cstheme="minorHAnsi"/>
                <w:sz w:val="20"/>
                <w:szCs w:val="20"/>
              </w:rPr>
            </w:pPr>
            <w:r w:rsidRPr="00CA69BC">
              <w:rPr>
                <w:rFonts w:cstheme="minorHAnsi"/>
                <w:sz w:val="20"/>
                <w:szCs w:val="20"/>
              </w:rPr>
              <w:t>54.</w:t>
            </w:r>
            <w:r w:rsidR="000747C3">
              <w:rPr>
                <w:rFonts w:cstheme="minorHAnsi"/>
                <w:sz w:val="20"/>
                <w:szCs w:val="20"/>
              </w:rPr>
              <w:t>9</w:t>
            </w:r>
          </w:p>
        </w:tc>
      </w:tr>
      <w:tr w:rsidR="0022730D" w:rsidRPr="00CA69BC" w14:paraId="40C02ABD" w14:textId="77777777" w:rsidTr="005D4760">
        <w:trPr>
          <w:trHeight w:val="288"/>
          <w:jc w:val="center"/>
        </w:trPr>
        <w:tc>
          <w:tcPr>
            <w:tcW w:w="3116" w:type="dxa"/>
            <w:tcBorders>
              <w:top w:val="single" w:sz="4" w:space="0" w:color="auto"/>
              <w:left w:val="single" w:sz="4" w:space="0" w:color="auto"/>
              <w:bottom w:val="single" w:sz="4" w:space="0" w:color="auto"/>
              <w:right w:val="single" w:sz="4" w:space="0" w:color="auto"/>
            </w:tcBorders>
            <w:vAlign w:val="center"/>
          </w:tcPr>
          <w:p w14:paraId="3431BBE8" w14:textId="77777777"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88</w:t>
            </w:r>
          </w:p>
        </w:tc>
        <w:tc>
          <w:tcPr>
            <w:tcW w:w="3269" w:type="dxa"/>
            <w:tcBorders>
              <w:top w:val="single" w:sz="4" w:space="0" w:color="auto"/>
              <w:left w:val="single" w:sz="4" w:space="0" w:color="auto"/>
              <w:bottom w:val="single" w:sz="4" w:space="0" w:color="auto"/>
              <w:right w:val="single" w:sz="4" w:space="0" w:color="auto"/>
            </w:tcBorders>
            <w:vAlign w:val="center"/>
          </w:tcPr>
          <w:p w14:paraId="73028EEA" w14:textId="77777777" w:rsidR="0022730D" w:rsidRPr="00CA69BC" w:rsidRDefault="0022730D" w:rsidP="00237C3B">
            <w:pPr>
              <w:jc w:val="center"/>
              <w:rPr>
                <w:color w:val="262626" w:themeColor="text1" w:themeTint="D9"/>
                <w:sz w:val="20"/>
                <w:szCs w:val="20"/>
              </w:rPr>
            </w:pPr>
            <w:r w:rsidRPr="00CA69BC">
              <w:rPr>
                <w:color w:val="262626" w:themeColor="text1" w:themeTint="D9"/>
                <w:sz w:val="20"/>
                <w:szCs w:val="20"/>
              </w:rPr>
              <w:t>Water</w:t>
            </w:r>
          </w:p>
        </w:tc>
        <w:tc>
          <w:tcPr>
            <w:tcW w:w="2965" w:type="dxa"/>
            <w:tcBorders>
              <w:top w:val="single" w:sz="4" w:space="0" w:color="auto"/>
              <w:left w:val="single" w:sz="4" w:space="0" w:color="auto"/>
              <w:bottom w:val="single" w:sz="4" w:space="0" w:color="auto"/>
              <w:right w:val="single" w:sz="4" w:space="0" w:color="auto"/>
            </w:tcBorders>
          </w:tcPr>
          <w:p w14:paraId="4431ACD4" w14:textId="4D1BB7D6" w:rsidR="0022730D" w:rsidRPr="00CA69BC" w:rsidRDefault="00E24842" w:rsidP="00C22DD0">
            <w:pPr>
              <w:jc w:val="center"/>
              <w:rPr>
                <w:rFonts w:cstheme="minorHAnsi"/>
                <w:sz w:val="20"/>
                <w:szCs w:val="20"/>
              </w:rPr>
            </w:pPr>
            <w:r w:rsidRPr="00CA69BC">
              <w:rPr>
                <w:rFonts w:cstheme="minorHAnsi"/>
                <w:sz w:val="20"/>
                <w:szCs w:val="20"/>
              </w:rPr>
              <w:t>1</w:t>
            </w:r>
            <w:r w:rsidR="00514429" w:rsidRPr="00CA69BC">
              <w:rPr>
                <w:rFonts w:cstheme="minorHAnsi"/>
                <w:sz w:val="20"/>
                <w:szCs w:val="20"/>
              </w:rPr>
              <w:t>,</w:t>
            </w:r>
            <w:r w:rsidRPr="00CA69BC">
              <w:rPr>
                <w:rFonts w:cstheme="minorHAnsi"/>
                <w:sz w:val="20"/>
                <w:szCs w:val="20"/>
              </w:rPr>
              <w:t>516.4</w:t>
            </w:r>
          </w:p>
        </w:tc>
      </w:tr>
      <w:tr w:rsidR="0022730D" w:rsidRPr="00CA69BC" w14:paraId="509C44DD" w14:textId="77777777" w:rsidTr="00E376B3">
        <w:trPr>
          <w:trHeight w:val="288"/>
          <w:jc w:val="center"/>
        </w:trPr>
        <w:tc>
          <w:tcPr>
            <w:tcW w:w="6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479D1" w14:textId="3B686B9A" w:rsidR="0022730D" w:rsidRPr="00CA69BC" w:rsidRDefault="006649CF" w:rsidP="00E376B3">
            <w:pPr>
              <w:pStyle w:val="Heading4"/>
              <w:jc w:val="right"/>
              <w:rPr>
                <w:color w:val="262626" w:themeColor="text1" w:themeTint="D9"/>
              </w:rPr>
            </w:pPr>
            <w:r>
              <w:t>TOTAL</w:t>
            </w:r>
          </w:p>
        </w:tc>
        <w:tc>
          <w:tcPr>
            <w:tcW w:w="2965" w:type="dxa"/>
            <w:tcBorders>
              <w:top w:val="single" w:sz="4" w:space="0" w:color="auto"/>
              <w:left w:val="single" w:sz="4" w:space="0" w:color="auto"/>
              <w:bottom w:val="single" w:sz="4" w:space="0" w:color="auto"/>
            </w:tcBorders>
            <w:shd w:val="clear" w:color="auto" w:fill="D9D9D9" w:themeFill="background1" w:themeFillShade="D9"/>
            <w:vAlign w:val="center"/>
          </w:tcPr>
          <w:p w14:paraId="233202A5" w14:textId="2FF4CB23" w:rsidR="0022730D" w:rsidRPr="00CA69BC" w:rsidRDefault="00E24842" w:rsidP="000747C3">
            <w:pPr>
              <w:jc w:val="center"/>
              <w:rPr>
                <w:rFonts w:cstheme="minorHAnsi"/>
                <w:b/>
                <w:bCs/>
                <w:sz w:val="20"/>
                <w:szCs w:val="20"/>
              </w:rPr>
            </w:pPr>
            <w:r w:rsidRPr="00CA69BC">
              <w:rPr>
                <w:rFonts w:cstheme="minorHAnsi"/>
                <w:b/>
                <w:bCs/>
                <w:sz w:val="20"/>
                <w:szCs w:val="20"/>
              </w:rPr>
              <w:t>16</w:t>
            </w:r>
            <w:r w:rsidR="00514429" w:rsidRPr="00CA69BC">
              <w:rPr>
                <w:rFonts w:cstheme="minorHAnsi"/>
                <w:b/>
                <w:bCs/>
                <w:sz w:val="20"/>
                <w:szCs w:val="20"/>
              </w:rPr>
              <w:t>,</w:t>
            </w:r>
            <w:r w:rsidRPr="00CA69BC">
              <w:rPr>
                <w:rFonts w:cstheme="minorHAnsi"/>
                <w:b/>
                <w:bCs/>
                <w:sz w:val="20"/>
                <w:szCs w:val="20"/>
              </w:rPr>
              <w:t>384.9</w:t>
            </w:r>
          </w:p>
        </w:tc>
      </w:tr>
    </w:tbl>
    <w:p w14:paraId="602D4147" w14:textId="53D070CE" w:rsidR="006E2271" w:rsidRPr="000747C3" w:rsidRDefault="0022730D" w:rsidP="00FA193D">
      <w:pPr>
        <w:pStyle w:val="NoSpacing"/>
        <w:rPr>
          <w:i/>
          <w:iCs/>
          <w:sz w:val="20"/>
          <w:szCs w:val="20"/>
        </w:rPr>
      </w:pPr>
      <w:r w:rsidRPr="000747C3">
        <w:rPr>
          <w:i/>
          <w:iCs/>
          <w:sz w:val="20"/>
          <w:szCs w:val="20"/>
        </w:rPr>
        <w:t xml:space="preserve">Source: </w:t>
      </w:r>
      <w:proofErr w:type="spellStart"/>
      <w:r w:rsidRPr="000747C3">
        <w:rPr>
          <w:i/>
          <w:iCs/>
          <w:sz w:val="20"/>
          <w:szCs w:val="20"/>
        </w:rPr>
        <w:t>MassGIS</w:t>
      </w:r>
      <w:proofErr w:type="spellEnd"/>
      <w:r w:rsidRPr="000747C3">
        <w:rPr>
          <w:i/>
          <w:iCs/>
          <w:sz w:val="20"/>
          <w:szCs w:val="20"/>
        </w:rPr>
        <w:t xml:space="preserve"> Land Cover/Land Use (2016)</w:t>
      </w:r>
    </w:p>
    <w:p w14:paraId="32909CF5" w14:textId="730E5F10" w:rsidR="000747C3" w:rsidRDefault="00FA193D" w:rsidP="000747C3">
      <w:pPr>
        <w:pStyle w:val="NoSpacing"/>
        <w:rPr>
          <w:rFonts w:cs="Helvetica Neue"/>
          <w:i/>
          <w:iCs/>
          <w:sz w:val="20"/>
          <w:szCs w:val="20"/>
          <w:shd w:val="clear" w:color="auto" w:fill="FFFFFF"/>
        </w:rPr>
      </w:pPr>
      <w:r w:rsidRPr="00E376B3">
        <w:rPr>
          <w:i/>
          <w:iCs/>
          <w:sz w:val="20"/>
          <w:szCs w:val="20"/>
          <w:u w:val="single"/>
        </w:rPr>
        <w:t>Note</w:t>
      </w:r>
      <w:r w:rsidR="000747C3">
        <w:rPr>
          <w:i/>
          <w:iCs/>
          <w:sz w:val="20"/>
          <w:szCs w:val="20"/>
          <w:u w:val="single"/>
        </w:rPr>
        <w:t>s:</w:t>
      </w:r>
      <w:r w:rsidR="000747C3">
        <w:rPr>
          <w:i/>
          <w:iCs/>
          <w:sz w:val="20"/>
          <w:szCs w:val="20"/>
          <w:vertAlign w:val="superscript"/>
        </w:rPr>
        <w:t xml:space="preserve">   </w:t>
      </w:r>
      <w:proofErr w:type="spellStart"/>
      <w:r w:rsidR="000747C3">
        <w:rPr>
          <w:i/>
          <w:iCs/>
          <w:sz w:val="20"/>
          <w:szCs w:val="20"/>
          <w:vertAlign w:val="superscript"/>
        </w:rPr>
        <w:t>a</w:t>
      </w:r>
      <w:r w:rsidRPr="00E376B3">
        <w:rPr>
          <w:i/>
          <w:iCs/>
          <w:sz w:val="20"/>
          <w:szCs w:val="20"/>
        </w:rPr>
        <w:t>MassGIS</w:t>
      </w:r>
      <w:proofErr w:type="spellEnd"/>
      <w:r w:rsidRPr="00E376B3">
        <w:rPr>
          <w:i/>
          <w:iCs/>
          <w:sz w:val="20"/>
          <w:szCs w:val="20"/>
        </w:rPr>
        <w:t xml:space="preserve"> 2016 </w:t>
      </w:r>
      <w:r w:rsidRPr="00E376B3">
        <w:rPr>
          <w:rFonts w:cs="Helvetica Neue"/>
          <w:i/>
          <w:iCs/>
          <w:sz w:val="20"/>
          <w:szCs w:val="20"/>
          <w:shd w:val="clear" w:color="auto" w:fill="FFFFFF"/>
        </w:rPr>
        <w:t>land cover/land use dataset does not conform to the classification schemes of</w:t>
      </w:r>
    </w:p>
    <w:p w14:paraId="57815386" w14:textId="0A3B26F7" w:rsidR="000747C3" w:rsidRDefault="000747C3" w:rsidP="000747C3">
      <w:pPr>
        <w:pStyle w:val="NoSpacing"/>
        <w:rPr>
          <w:rFonts w:cs="Helvetica Neue"/>
          <w:i/>
          <w:iCs/>
          <w:sz w:val="20"/>
          <w:szCs w:val="20"/>
          <w:shd w:val="clear" w:color="auto" w:fill="FFFFFF"/>
        </w:rPr>
      </w:pPr>
      <w:r>
        <w:rPr>
          <w:rFonts w:cs="Helvetica Neue"/>
          <w:i/>
          <w:iCs/>
          <w:sz w:val="20"/>
          <w:szCs w:val="20"/>
          <w:shd w:val="clear" w:color="auto" w:fill="FFFFFF"/>
        </w:rPr>
        <w:t xml:space="preserve">           </w:t>
      </w:r>
      <w:r w:rsidR="00FA193D" w:rsidRPr="00E376B3">
        <w:rPr>
          <w:rFonts w:cs="Helvetica Neue"/>
          <w:i/>
          <w:iCs/>
          <w:sz w:val="20"/>
          <w:szCs w:val="20"/>
          <w:shd w:val="clear" w:color="auto" w:fill="FFFFFF"/>
        </w:rPr>
        <w:t>previous</w:t>
      </w:r>
      <w:r>
        <w:rPr>
          <w:rFonts w:cs="Helvetica Neue"/>
          <w:i/>
          <w:iCs/>
          <w:sz w:val="20"/>
          <w:szCs w:val="20"/>
          <w:shd w:val="clear" w:color="auto" w:fill="FFFFFF"/>
        </w:rPr>
        <w:t xml:space="preserve"> </w:t>
      </w:r>
      <w:r w:rsidR="00FA193D" w:rsidRPr="00E376B3">
        <w:rPr>
          <w:rFonts w:cs="Helvetica Neue"/>
          <w:i/>
          <w:iCs/>
          <w:sz w:val="20"/>
          <w:szCs w:val="20"/>
          <w:shd w:val="clear" w:color="auto" w:fill="FFFFFF"/>
        </w:rPr>
        <w:t>land use data</w:t>
      </w:r>
      <w:r w:rsidR="005A3B85" w:rsidRPr="00E376B3">
        <w:rPr>
          <w:rFonts w:cs="Helvetica Neue"/>
          <w:i/>
          <w:iCs/>
          <w:sz w:val="20"/>
          <w:szCs w:val="20"/>
          <w:shd w:val="clear" w:color="auto" w:fill="FFFFFF"/>
        </w:rPr>
        <w:t xml:space="preserve"> </w:t>
      </w:r>
      <w:r w:rsidR="00FA193D" w:rsidRPr="00E376B3">
        <w:rPr>
          <w:rFonts w:cs="Helvetica Neue"/>
          <w:i/>
          <w:iCs/>
          <w:sz w:val="20"/>
          <w:szCs w:val="20"/>
          <w:shd w:val="clear" w:color="auto" w:fill="FFFFFF"/>
        </w:rPr>
        <w:t xml:space="preserve">from </w:t>
      </w:r>
      <w:proofErr w:type="spellStart"/>
      <w:r w:rsidR="00FA193D" w:rsidRPr="00E376B3">
        <w:rPr>
          <w:rFonts w:cs="Helvetica Neue"/>
          <w:i/>
          <w:iCs/>
          <w:sz w:val="20"/>
          <w:szCs w:val="20"/>
          <w:shd w:val="clear" w:color="auto" w:fill="FFFFFF"/>
        </w:rPr>
        <w:t>MassGIS</w:t>
      </w:r>
      <w:proofErr w:type="spellEnd"/>
      <w:r w:rsidR="00FA193D" w:rsidRPr="00E376B3">
        <w:rPr>
          <w:rFonts w:cs="Helvetica Neue"/>
          <w:i/>
          <w:iCs/>
          <w:sz w:val="20"/>
          <w:szCs w:val="20"/>
          <w:shd w:val="clear" w:color="auto" w:fill="FFFFFF"/>
        </w:rPr>
        <w:t xml:space="preserve"> (1971-1999; 2005). The 2016 Mass GIS land use/land cover</w:t>
      </w:r>
    </w:p>
    <w:p w14:paraId="7E846BBE" w14:textId="6B3D2EE1" w:rsidR="00FA193D" w:rsidRPr="00E376B3" w:rsidRDefault="000747C3" w:rsidP="00E376B3">
      <w:pPr>
        <w:pStyle w:val="NoSpacing"/>
        <w:rPr>
          <w:rFonts w:cs="Helvetica Neue"/>
          <w:i/>
          <w:iCs/>
          <w:sz w:val="20"/>
          <w:szCs w:val="20"/>
          <w:shd w:val="clear" w:color="auto" w:fill="FFFFFF"/>
        </w:rPr>
      </w:pPr>
      <w:r>
        <w:rPr>
          <w:rFonts w:cs="Helvetica Neue"/>
          <w:i/>
          <w:iCs/>
          <w:sz w:val="20"/>
          <w:szCs w:val="20"/>
          <w:shd w:val="clear" w:color="auto" w:fill="FFFFFF"/>
        </w:rPr>
        <w:t xml:space="preserve">          </w:t>
      </w:r>
      <w:r w:rsidR="00FA193D" w:rsidRPr="00E376B3">
        <w:rPr>
          <w:rFonts w:cs="Helvetica Neue"/>
          <w:i/>
          <w:iCs/>
          <w:sz w:val="20"/>
          <w:szCs w:val="20"/>
          <w:shd w:val="clear" w:color="auto" w:fill="FFFFFF"/>
        </w:rPr>
        <w:t>information</w:t>
      </w:r>
      <w:r>
        <w:rPr>
          <w:rFonts w:cs="Helvetica Neue"/>
          <w:i/>
          <w:iCs/>
          <w:sz w:val="20"/>
          <w:szCs w:val="20"/>
          <w:shd w:val="clear" w:color="auto" w:fill="FFFFFF"/>
        </w:rPr>
        <w:t xml:space="preserve"> </w:t>
      </w:r>
      <w:r w:rsidR="00FA193D" w:rsidRPr="00E376B3">
        <w:rPr>
          <w:rFonts w:cs="Helvetica Neue"/>
          <w:i/>
          <w:iCs/>
          <w:sz w:val="20"/>
          <w:szCs w:val="20"/>
          <w:shd w:val="clear" w:color="auto" w:fill="FFFFFF"/>
        </w:rPr>
        <w:t>for Mashpee is provided for informational purposes</w:t>
      </w:r>
      <w:r w:rsidR="0013613A" w:rsidRPr="00E376B3">
        <w:rPr>
          <w:rFonts w:cs="Helvetica Neue"/>
          <w:i/>
          <w:iCs/>
          <w:sz w:val="20"/>
          <w:szCs w:val="20"/>
          <w:shd w:val="clear" w:color="auto" w:fill="FFFFFF"/>
        </w:rPr>
        <w:t xml:space="preserve">. </w:t>
      </w:r>
    </w:p>
    <w:p w14:paraId="3797CDCF" w14:textId="667373D8" w:rsidR="0022730D" w:rsidRPr="0022730D" w:rsidRDefault="0022730D" w:rsidP="00257C0D">
      <w:pPr>
        <w:keepNext/>
        <w:numPr>
          <w:ilvl w:val="2"/>
          <w:numId w:val="1"/>
        </w:numPr>
        <w:spacing w:before="240" w:after="60" w:line="240" w:lineRule="auto"/>
        <w:jc w:val="both"/>
        <w:outlineLvl w:val="2"/>
        <w:rPr>
          <w:rFonts w:eastAsia="Times New Roman" w:cs="Arial"/>
          <w:i/>
          <w:szCs w:val="20"/>
        </w:rPr>
      </w:pPr>
      <w:r>
        <w:rPr>
          <w:rFonts w:eastAsia="Times New Roman" w:cs="Arial"/>
          <w:i/>
          <w:szCs w:val="20"/>
        </w:rPr>
        <w:t xml:space="preserve">Existing </w:t>
      </w:r>
      <w:r w:rsidR="00794CEB">
        <w:rPr>
          <w:rFonts w:eastAsia="Times New Roman" w:cs="Arial"/>
          <w:i/>
          <w:szCs w:val="20"/>
        </w:rPr>
        <w:t>Regulatory Framework</w:t>
      </w:r>
    </w:p>
    <w:p w14:paraId="34034D6E" w14:textId="47D84830" w:rsidR="00794CEB" w:rsidRPr="00794CEB" w:rsidRDefault="00794CEB" w:rsidP="00E376B3">
      <w:pPr>
        <w:jc w:val="both"/>
      </w:pPr>
      <w:r>
        <w:t xml:space="preserve">The Town of Mashpee employs a Zoning Bylaw and </w:t>
      </w:r>
      <w:r w:rsidR="0022730D" w:rsidRPr="000A4CEA">
        <w:t xml:space="preserve">The </w:t>
      </w:r>
      <w:r>
        <w:t>Rules and Regulations Governing the Subdivision of Land</w:t>
      </w:r>
      <w:r w:rsidR="00FE05E7">
        <w:t xml:space="preserve"> </w:t>
      </w:r>
      <w:r>
        <w:t>as the guiding documents that regulate the development of land in the Town. Each of these are discussed in more detail in this section.</w:t>
      </w:r>
    </w:p>
    <w:p w14:paraId="7A092B58" w14:textId="60D3AF92" w:rsidR="005542B3" w:rsidRDefault="00794CEB" w:rsidP="00E376B3">
      <w:pPr>
        <w:jc w:val="both"/>
      </w:pPr>
      <w:r>
        <w:lastRenderedPageBreak/>
        <w:t xml:space="preserve">The </w:t>
      </w:r>
      <w:r w:rsidR="0022730D" w:rsidRPr="000A4CEA">
        <w:t xml:space="preserve">allowable use of land is determined by the designation of a zoning district, which is established in the </w:t>
      </w:r>
      <w:r w:rsidR="005A2037">
        <w:t xml:space="preserve">Zoning </w:t>
      </w:r>
      <w:r w:rsidR="00EB2227">
        <w:t>Bylaw</w:t>
      </w:r>
      <w:r w:rsidR="0022730D" w:rsidRPr="000A4CEA">
        <w:t>.</w:t>
      </w:r>
      <w:r w:rsidR="0022730D" w:rsidRPr="0022730D">
        <w:t xml:space="preserve"> </w:t>
      </w:r>
      <w:r w:rsidR="005C3AC2">
        <w:t xml:space="preserve">The </w:t>
      </w:r>
      <w:r w:rsidR="009743B9">
        <w:t>Town</w:t>
      </w:r>
      <w:r w:rsidR="005C3AC2">
        <w:t xml:space="preserve"> is divided into </w:t>
      </w:r>
      <w:r w:rsidR="00252A2A">
        <w:t>six</w:t>
      </w:r>
      <w:r w:rsidR="006A5AF4">
        <w:t xml:space="preserve"> </w:t>
      </w:r>
      <w:r w:rsidR="00252A2A">
        <w:t xml:space="preserve">underlying </w:t>
      </w:r>
      <w:r w:rsidR="005C3AC2">
        <w:t>zoning districts</w:t>
      </w:r>
      <w:sdt>
        <w:sdtPr>
          <w:id w:val="-522403503"/>
          <w:citation/>
        </w:sdtPr>
        <w:sdtEndPr/>
        <w:sdtContent>
          <w:r w:rsidR="005C3AC2">
            <w:fldChar w:fldCharType="begin"/>
          </w:r>
          <w:r w:rsidR="005C3AC2">
            <w:instrText xml:space="preserve"> CITATION Tow151 \l 1033 </w:instrText>
          </w:r>
          <w:r w:rsidR="005C3AC2">
            <w:fldChar w:fldCharType="separate"/>
          </w:r>
          <w:r w:rsidR="00667C28">
            <w:t xml:space="preserve"> (Town of Mashpee, 2015)</w:t>
          </w:r>
          <w:r w:rsidR="005C3AC2">
            <w:fldChar w:fldCharType="end"/>
          </w:r>
        </w:sdtContent>
      </w:sdt>
      <w:r w:rsidR="005C3AC2">
        <w:t xml:space="preserve">. </w:t>
      </w:r>
      <w:r w:rsidR="005542B3">
        <w:t>Underlying zoning</w:t>
      </w:r>
      <w:r w:rsidR="006303E4">
        <w:t xml:space="preserve"> distric</w:t>
      </w:r>
      <w:r w:rsidR="005542B3">
        <w:t xml:space="preserve">ts and their minimum lot size requirements </w:t>
      </w:r>
      <w:r w:rsidR="006303E4">
        <w:t xml:space="preserve">are </w:t>
      </w:r>
      <w:r w:rsidR="005542B3">
        <w:t xml:space="preserve">detailed in Table 5-4. </w:t>
      </w:r>
      <w:r w:rsidR="00380418">
        <w:t>The Town has two residential districts, three commercial districts, and one industrial district.</w:t>
      </w:r>
      <w:r w:rsidR="002E0A55">
        <w:t xml:space="preserve"> The zoning districts for the Town are shown on </w:t>
      </w:r>
      <w:r w:rsidR="002E0A55" w:rsidRPr="002E0A55">
        <w:rPr>
          <w:highlight w:val="yellow"/>
        </w:rPr>
        <w:t>Map X.</w:t>
      </w:r>
    </w:p>
    <w:tbl>
      <w:tblPr>
        <w:tblStyle w:val="TableGrid1"/>
        <w:tblW w:w="0" w:type="auto"/>
        <w:tblInd w:w="-5" w:type="dxa"/>
        <w:tblLook w:val="04A0" w:firstRow="1" w:lastRow="0" w:firstColumn="1" w:lastColumn="0" w:noHBand="0" w:noVBand="1"/>
      </w:tblPr>
      <w:tblGrid>
        <w:gridCol w:w="2610"/>
        <w:gridCol w:w="3240"/>
        <w:gridCol w:w="3505"/>
      </w:tblGrid>
      <w:tr w:rsidR="001D7F46" w:rsidRPr="000747C3" w14:paraId="30EB1B4E" w14:textId="77777777" w:rsidTr="00E376B3">
        <w:trPr>
          <w:trHeight w:val="288"/>
          <w:tblHeader/>
        </w:trPr>
        <w:tc>
          <w:tcPr>
            <w:tcW w:w="9355" w:type="dxa"/>
            <w:gridSpan w:val="3"/>
            <w:tcBorders>
              <w:bottom w:val="single" w:sz="4" w:space="0" w:color="auto"/>
            </w:tcBorders>
            <w:shd w:val="clear" w:color="auto" w:fill="007FB2"/>
            <w:vAlign w:val="center"/>
          </w:tcPr>
          <w:p w14:paraId="5749450E" w14:textId="5E7E4134" w:rsidR="001D7F46" w:rsidRPr="000747C3" w:rsidRDefault="005D4760" w:rsidP="00E376B3">
            <w:pPr>
              <w:rPr>
                <w:rFonts w:cs="Arial"/>
                <w:b/>
                <w:bCs/>
                <w:color w:val="FFFFFF" w:themeColor="background1"/>
                <w:sz w:val="20"/>
                <w:szCs w:val="20"/>
              </w:rPr>
            </w:pPr>
            <w:r w:rsidRPr="000747C3">
              <w:rPr>
                <w:rFonts w:cs="Arial"/>
                <w:b/>
                <w:bCs/>
                <w:color w:val="FFFFFF" w:themeColor="background1"/>
                <w:sz w:val="20"/>
                <w:szCs w:val="20"/>
              </w:rPr>
              <w:t>Table 5-</w:t>
            </w:r>
            <w:r w:rsidRPr="000747C3">
              <w:rPr>
                <w:rFonts w:cs="Arial"/>
                <w:b/>
                <w:bCs/>
                <w:color w:val="FFFFFF" w:themeColor="background1"/>
                <w:sz w:val="20"/>
                <w:szCs w:val="20"/>
              </w:rPr>
              <w:fldChar w:fldCharType="begin"/>
            </w:r>
            <w:r w:rsidRPr="000747C3">
              <w:rPr>
                <w:rFonts w:cs="Arial"/>
                <w:b/>
                <w:bCs/>
                <w:color w:val="FFFFFF" w:themeColor="background1"/>
                <w:sz w:val="20"/>
                <w:szCs w:val="20"/>
              </w:rPr>
              <w:instrText xml:space="preserve"> SEQ Table \* MERGEFORMAT </w:instrText>
            </w:r>
            <w:r w:rsidRPr="000747C3">
              <w:rPr>
                <w:rFonts w:cs="Arial"/>
                <w:b/>
                <w:bCs/>
                <w:color w:val="FFFFFF" w:themeColor="background1"/>
                <w:sz w:val="20"/>
                <w:szCs w:val="20"/>
              </w:rPr>
              <w:fldChar w:fldCharType="separate"/>
            </w:r>
            <w:r w:rsidRPr="000747C3">
              <w:rPr>
                <w:rFonts w:cs="Arial"/>
                <w:b/>
                <w:bCs/>
                <w:noProof/>
                <w:color w:val="FFFFFF" w:themeColor="background1"/>
                <w:sz w:val="20"/>
                <w:szCs w:val="20"/>
              </w:rPr>
              <w:t>4</w:t>
            </w:r>
            <w:r w:rsidRPr="000747C3">
              <w:rPr>
                <w:rFonts w:cs="Arial"/>
                <w:b/>
                <w:bCs/>
                <w:color w:val="FFFFFF" w:themeColor="background1"/>
                <w:sz w:val="20"/>
                <w:szCs w:val="20"/>
              </w:rPr>
              <w:fldChar w:fldCharType="end"/>
            </w:r>
            <w:r w:rsidRPr="000747C3">
              <w:rPr>
                <w:rFonts w:cs="Arial"/>
                <w:b/>
                <w:bCs/>
                <w:color w:val="FFFFFF" w:themeColor="background1"/>
                <w:sz w:val="20"/>
                <w:szCs w:val="20"/>
              </w:rPr>
              <w:t>.</w:t>
            </w:r>
            <w:r w:rsidR="001D7F46" w:rsidRPr="000747C3">
              <w:rPr>
                <w:rFonts w:cs="Arial"/>
                <w:b/>
                <w:bCs/>
                <w:color w:val="FFFFFF" w:themeColor="background1"/>
                <w:sz w:val="20"/>
                <w:szCs w:val="20"/>
              </w:rPr>
              <w:t xml:space="preserve"> Minimum Lot Size for Zoning Districts</w:t>
            </w:r>
          </w:p>
        </w:tc>
      </w:tr>
      <w:tr w:rsidR="001D7F46" w:rsidRPr="000747C3" w14:paraId="52882E39" w14:textId="77777777" w:rsidTr="00E376B3">
        <w:trPr>
          <w:trHeight w:val="288"/>
        </w:trPr>
        <w:tc>
          <w:tcPr>
            <w:tcW w:w="2610" w:type="dxa"/>
            <w:tcBorders>
              <w:right w:val="single" w:sz="4" w:space="0" w:color="auto"/>
            </w:tcBorders>
            <w:shd w:val="clear" w:color="auto" w:fill="007FB2"/>
            <w:vAlign w:val="center"/>
          </w:tcPr>
          <w:p w14:paraId="4683446B" w14:textId="5A3029BB" w:rsidR="001D7F46" w:rsidRPr="00E376B3" w:rsidRDefault="001D7F46" w:rsidP="00E376B3">
            <w:pPr>
              <w:jc w:val="center"/>
              <w:rPr>
                <w:b/>
                <w:bCs/>
                <w:color w:val="FFFFFF" w:themeColor="background1"/>
                <w:sz w:val="20"/>
                <w:szCs w:val="20"/>
              </w:rPr>
            </w:pPr>
            <w:r w:rsidRPr="00E376B3">
              <w:rPr>
                <w:b/>
                <w:bCs/>
                <w:color w:val="FFFFFF" w:themeColor="background1"/>
                <w:sz w:val="20"/>
                <w:szCs w:val="20"/>
              </w:rPr>
              <w:t>Zoning District</w:t>
            </w:r>
          </w:p>
        </w:tc>
        <w:tc>
          <w:tcPr>
            <w:tcW w:w="3240" w:type="dxa"/>
            <w:tcBorders>
              <w:top w:val="single" w:sz="4" w:space="0" w:color="auto"/>
              <w:left w:val="single" w:sz="4" w:space="0" w:color="auto"/>
              <w:bottom w:val="single" w:sz="4" w:space="0" w:color="auto"/>
              <w:right w:val="single" w:sz="4" w:space="0" w:color="auto"/>
            </w:tcBorders>
            <w:shd w:val="clear" w:color="auto" w:fill="007FB2"/>
            <w:vAlign w:val="center"/>
          </w:tcPr>
          <w:p w14:paraId="34E4A8D8" w14:textId="21E61C63" w:rsidR="001D7F46" w:rsidRPr="00E376B3" w:rsidRDefault="001D7F46" w:rsidP="00E376B3">
            <w:pPr>
              <w:jc w:val="center"/>
              <w:rPr>
                <w:b/>
                <w:bCs/>
                <w:color w:val="FFFFFF" w:themeColor="background1"/>
                <w:sz w:val="20"/>
                <w:szCs w:val="20"/>
              </w:rPr>
            </w:pPr>
            <w:r w:rsidRPr="00E376B3">
              <w:rPr>
                <w:b/>
                <w:bCs/>
                <w:color w:val="FFFFFF" w:themeColor="background1"/>
                <w:sz w:val="20"/>
                <w:szCs w:val="20"/>
              </w:rPr>
              <w:t>Minimum Lot Size</w:t>
            </w:r>
            <w:r w:rsidR="00E410EB" w:rsidRPr="00E376B3">
              <w:rPr>
                <w:b/>
                <w:bCs/>
                <w:color w:val="FFFFFF" w:themeColor="background1"/>
                <w:sz w:val="20"/>
                <w:szCs w:val="20"/>
              </w:rPr>
              <w:t xml:space="preserve"> (</w:t>
            </w:r>
            <w:r w:rsidR="00EE2302" w:rsidRPr="00E376B3">
              <w:rPr>
                <w:b/>
                <w:bCs/>
                <w:color w:val="FFFFFF" w:themeColor="background1"/>
                <w:sz w:val="20"/>
                <w:szCs w:val="20"/>
              </w:rPr>
              <w:t xml:space="preserve">square </w:t>
            </w:r>
            <w:r w:rsidR="00E410EB" w:rsidRPr="00E376B3">
              <w:rPr>
                <w:b/>
                <w:bCs/>
                <w:color w:val="FFFFFF" w:themeColor="background1"/>
                <w:sz w:val="20"/>
                <w:szCs w:val="20"/>
              </w:rPr>
              <w:t>feet)</w:t>
            </w:r>
          </w:p>
        </w:tc>
        <w:tc>
          <w:tcPr>
            <w:tcW w:w="3505" w:type="dxa"/>
            <w:tcBorders>
              <w:top w:val="single" w:sz="4" w:space="0" w:color="auto"/>
              <w:left w:val="single" w:sz="4" w:space="0" w:color="auto"/>
              <w:bottom w:val="single" w:sz="4" w:space="0" w:color="auto"/>
              <w:right w:val="single" w:sz="4" w:space="0" w:color="auto"/>
            </w:tcBorders>
            <w:shd w:val="clear" w:color="auto" w:fill="007FB2"/>
            <w:vAlign w:val="center"/>
          </w:tcPr>
          <w:p w14:paraId="5EED5950" w14:textId="153D2103" w:rsidR="001D7F46" w:rsidRPr="00E376B3" w:rsidRDefault="001D7F46" w:rsidP="00E376B3">
            <w:pPr>
              <w:jc w:val="center"/>
              <w:rPr>
                <w:b/>
                <w:bCs/>
                <w:color w:val="FFFFFF" w:themeColor="background1"/>
                <w:sz w:val="20"/>
                <w:szCs w:val="20"/>
              </w:rPr>
            </w:pPr>
            <w:r w:rsidRPr="00E376B3">
              <w:rPr>
                <w:b/>
                <w:bCs/>
                <w:color w:val="FFFFFF" w:themeColor="background1"/>
                <w:sz w:val="20"/>
                <w:szCs w:val="20"/>
              </w:rPr>
              <w:t xml:space="preserve">Minimum Lot Frontage </w:t>
            </w:r>
            <w:r w:rsidR="00E410EB" w:rsidRPr="00E376B3">
              <w:rPr>
                <w:b/>
                <w:bCs/>
                <w:color w:val="FFFFFF" w:themeColor="background1"/>
                <w:sz w:val="20"/>
                <w:szCs w:val="20"/>
              </w:rPr>
              <w:t>(</w:t>
            </w:r>
            <w:r w:rsidR="00EE2302" w:rsidRPr="00E376B3">
              <w:rPr>
                <w:b/>
                <w:bCs/>
                <w:color w:val="FFFFFF" w:themeColor="background1"/>
                <w:sz w:val="20"/>
                <w:szCs w:val="20"/>
              </w:rPr>
              <w:t xml:space="preserve">square </w:t>
            </w:r>
            <w:r w:rsidR="00E410EB" w:rsidRPr="00E376B3">
              <w:rPr>
                <w:b/>
                <w:bCs/>
                <w:color w:val="FFFFFF" w:themeColor="background1"/>
                <w:sz w:val="20"/>
                <w:szCs w:val="20"/>
              </w:rPr>
              <w:t>feet)</w:t>
            </w:r>
          </w:p>
        </w:tc>
      </w:tr>
      <w:tr w:rsidR="000747C3" w:rsidRPr="000747C3" w14:paraId="5DAE53F8" w14:textId="77777777" w:rsidTr="00E376B3">
        <w:trPr>
          <w:trHeight w:val="288"/>
        </w:trPr>
        <w:tc>
          <w:tcPr>
            <w:tcW w:w="9355" w:type="dxa"/>
            <w:gridSpan w:val="3"/>
            <w:tcBorders>
              <w:top w:val="single" w:sz="4" w:space="0" w:color="auto"/>
            </w:tcBorders>
            <w:shd w:val="clear" w:color="auto" w:fill="F2F2F2" w:themeFill="background1" w:themeFillShade="F2"/>
            <w:vAlign w:val="center"/>
          </w:tcPr>
          <w:p w14:paraId="65E001B4" w14:textId="74EB90AF" w:rsidR="000747C3" w:rsidRPr="00E376B3" w:rsidRDefault="000747C3" w:rsidP="000747C3">
            <w:pPr>
              <w:rPr>
                <w:b/>
                <w:bCs/>
                <w:sz w:val="20"/>
                <w:szCs w:val="20"/>
              </w:rPr>
            </w:pPr>
            <w:r w:rsidRPr="00E376B3">
              <w:rPr>
                <w:b/>
                <w:bCs/>
                <w:sz w:val="20"/>
                <w:szCs w:val="20"/>
              </w:rPr>
              <w:t>Residential Districts</w:t>
            </w:r>
          </w:p>
        </w:tc>
      </w:tr>
      <w:tr w:rsidR="001D7F46" w:rsidRPr="000747C3" w14:paraId="36D18B91" w14:textId="77777777" w:rsidTr="00E376B3">
        <w:trPr>
          <w:trHeight w:val="288"/>
        </w:trPr>
        <w:tc>
          <w:tcPr>
            <w:tcW w:w="2610" w:type="dxa"/>
            <w:vAlign w:val="center"/>
          </w:tcPr>
          <w:p w14:paraId="3782B6E1" w14:textId="2C9862D9" w:rsidR="001D7F46" w:rsidRPr="000747C3" w:rsidRDefault="00E410EB" w:rsidP="00E376B3">
            <w:pPr>
              <w:jc w:val="center"/>
              <w:rPr>
                <w:sz w:val="20"/>
                <w:szCs w:val="20"/>
              </w:rPr>
            </w:pPr>
            <w:r w:rsidRPr="000747C3">
              <w:rPr>
                <w:sz w:val="20"/>
                <w:szCs w:val="20"/>
              </w:rPr>
              <w:t>R3</w:t>
            </w:r>
          </w:p>
        </w:tc>
        <w:tc>
          <w:tcPr>
            <w:tcW w:w="3240" w:type="dxa"/>
            <w:vAlign w:val="center"/>
          </w:tcPr>
          <w:p w14:paraId="2CAE9A00" w14:textId="44D36438" w:rsidR="001D7F46" w:rsidRPr="000747C3" w:rsidRDefault="00E410EB" w:rsidP="000747C3">
            <w:pPr>
              <w:jc w:val="center"/>
              <w:rPr>
                <w:sz w:val="20"/>
                <w:szCs w:val="20"/>
              </w:rPr>
            </w:pPr>
            <w:r w:rsidRPr="000747C3">
              <w:rPr>
                <w:sz w:val="20"/>
                <w:szCs w:val="20"/>
              </w:rPr>
              <w:t>40,000</w:t>
            </w:r>
          </w:p>
        </w:tc>
        <w:tc>
          <w:tcPr>
            <w:tcW w:w="3505" w:type="dxa"/>
            <w:vAlign w:val="center"/>
          </w:tcPr>
          <w:p w14:paraId="4156B7AF" w14:textId="3DFBCC9E" w:rsidR="001D7F46" w:rsidRPr="000747C3" w:rsidRDefault="00E410EB" w:rsidP="000747C3">
            <w:pPr>
              <w:jc w:val="center"/>
              <w:rPr>
                <w:sz w:val="20"/>
                <w:szCs w:val="20"/>
              </w:rPr>
            </w:pPr>
            <w:r w:rsidRPr="000747C3">
              <w:rPr>
                <w:sz w:val="20"/>
                <w:szCs w:val="20"/>
              </w:rPr>
              <w:t>150</w:t>
            </w:r>
          </w:p>
        </w:tc>
      </w:tr>
      <w:tr w:rsidR="00E410EB" w:rsidRPr="000747C3" w14:paraId="188A00C9" w14:textId="77777777" w:rsidTr="00E376B3">
        <w:trPr>
          <w:trHeight w:val="288"/>
        </w:trPr>
        <w:tc>
          <w:tcPr>
            <w:tcW w:w="2610" w:type="dxa"/>
            <w:vAlign w:val="center"/>
          </w:tcPr>
          <w:p w14:paraId="5C5607BF" w14:textId="6D14FB71" w:rsidR="00E410EB" w:rsidRPr="000747C3" w:rsidRDefault="00E410EB" w:rsidP="00E376B3">
            <w:pPr>
              <w:jc w:val="center"/>
              <w:rPr>
                <w:b/>
                <w:bCs/>
                <w:sz w:val="20"/>
                <w:szCs w:val="20"/>
              </w:rPr>
            </w:pPr>
            <w:r w:rsidRPr="000747C3">
              <w:rPr>
                <w:sz w:val="20"/>
                <w:szCs w:val="20"/>
              </w:rPr>
              <w:t>R5</w:t>
            </w:r>
          </w:p>
        </w:tc>
        <w:tc>
          <w:tcPr>
            <w:tcW w:w="3240" w:type="dxa"/>
            <w:vAlign w:val="center"/>
          </w:tcPr>
          <w:p w14:paraId="6B7402A6" w14:textId="6C56DC14" w:rsidR="00E410EB" w:rsidRPr="000747C3" w:rsidRDefault="00E410EB" w:rsidP="000747C3">
            <w:pPr>
              <w:jc w:val="center"/>
              <w:rPr>
                <w:sz w:val="20"/>
                <w:szCs w:val="20"/>
              </w:rPr>
            </w:pPr>
            <w:r w:rsidRPr="000747C3">
              <w:rPr>
                <w:sz w:val="20"/>
                <w:szCs w:val="20"/>
              </w:rPr>
              <w:t>80,000</w:t>
            </w:r>
          </w:p>
        </w:tc>
        <w:tc>
          <w:tcPr>
            <w:tcW w:w="3505" w:type="dxa"/>
            <w:vAlign w:val="center"/>
          </w:tcPr>
          <w:p w14:paraId="5C969975" w14:textId="0FDD0C11" w:rsidR="00E410EB" w:rsidRPr="000747C3" w:rsidRDefault="005D2065" w:rsidP="000747C3">
            <w:pPr>
              <w:jc w:val="center"/>
              <w:rPr>
                <w:sz w:val="20"/>
                <w:szCs w:val="20"/>
              </w:rPr>
            </w:pPr>
            <w:r w:rsidRPr="000747C3">
              <w:rPr>
                <w:sz w:val="20"/>
                <w:szCs w:val="20"/>
              </w:rPr>
              <w:t>150</w:t>
            </w:r>
          </w:p>
        </w:tc>
      </w:tr>
      <w:tr w:rsidR="000747C3" w:rsidRPr="000747C3" w14:paraId="2234FB2A" w14:textId="77777777" w:rsidTr="00E376B3">
        <w:trPr>
          <w:trHeight w:val="288"/>
        </w:trPr>
        <w:tc>
          <w:tcPr>
            <w:tcW w:w="9355" w:type="dxa"/>
            <w:gridSpan w:val="3"/>
            <w:shd w:val="clear" w:color="auto" w:fill="F2F2F2" w:themeFill="background1" w:themeFillShade="F2"/>
            <w:vAlign w:val="center"/>
          </w:tcPr>
          <w:p w14:paraId="358DF677" w14:textId="015B60C8" w:rsidR="000747C3" w:rsidRPr="000747C3" w:rsidRDefault="000747C3" w:rsidP="00E376B3">
            <w:pPr>
              <w:rPr>
                <w:sz w:val="20"/>
                <w:szCs w:val="20"/>
              </w:rPr>
            </w:pPr>
            <w:r w:rsidRPr="000747C3">
              <w:rPr>
                <w:b/>
                <w:bCs/>
                <w:sz w:val="20"/>
                <w:szCs w:val="20"/>
              </w:rPr>
              <w:t>Commercial Districts</w:t>
            </w:r>
          </w:p>
        </w:tc>
      </w:tr>
      <w:tr w:rsidR="00E410EB" w:rsidRPr="000747C3" w14:paraId="6E1734E4" w14:textId="77777777" w:rsidTr="00E376B3">
        <w:trPr>
          <w:trHeight w:val="288"/>
        </w:trPr>
        <w:tc>
          <w:tcPr>
            <w:tcW w:w="2610" w:type="dxa"/>
            <w:vAlign w:val="center"/>
          </w:tcPr>
          <w:p w14:paraId="0999163B" w14:textId="58FF0B5F" w:rsidR="00E410EB" w:rsidRPr="000747C3" w:rsidRDefault="00E410EB" w:rsidP="00E376B3">
            <w:pPr>
              <w:jc w:val="center"/>
              <w:rPr>
                <w:sz w:val="20"/>
                <w:szCs w:val="20"/>
              </w:rPr>
            </w:pPr>
            <w:r w:rsidRPr="000747C3">
              <w:rPr>
                <w:sz w:val="20"/>
                <w:szCs w:val="20"/>
              </w:rPr>
              <w:t>C1</w:t>
            </w:r>
          </w:p>
        </w:tc>
        <w:tc>
          <w:tcPr>
            <w:tcW w:w="3240" w:type="dxa"/>
            <w:vAlign w:val="center"/>
          </w:tcPr>
          <w:p w14:paraId="50F6877C" w14:textId="541A2CAC" w:rsidR="00E410EB" w:rsidRPr="000747C3" w:rsidRDefault="00E410EB" w:rsidP="000747C3">
            <w:pPr>
              <w:jc w:val="center"/>
              <w:rPr>
                <w:sz w:val="20"/>
                <w:szCs w:val="20"/>
              </w:rPr>
            </w:pPr>
            <w:r w:rsidRPr="000747C3">
              <w:rPr>
                <w:sz w:val="20"/>
                <w:szCs w:val="20"/>
              </w:rPr>
              <w:t>40,000</w:t>
            </w:r>
          </w:p>
        </w:tc>
        <w:tc>
          <w:tcPr>
            <w:tcW w:w="3505" w:type="dxa"/>
            <w:vAlign w:val="center"/>
          </w:tcPr>
          <w:p w14:paraId="1CB886C7" w14:textId="782928C2" w:rsidR="00E410EB" w:rsidRPr="000747C3" w:rsidRDefault="005D2065" w:rsidP="000747C3">
            <w:pPr>
              <w:jc w:val="center"/>
              <w:rPr>
                <w:sz w:val="20"/>
                <w:szCs w:val="20"/>
              </w:rPr>
            </w:pPr>
            <w:r w:rsidRPr="000747C3">
              <w:rPr>
                <w:sz w:val="20"/>
                <w:szCs w:val="20"/>
              </w:rPr>
              <w:t>200</w:t>
            </w:r>
          </w:p>
        </w:tc>
      </w:tr>
      <w:tr w:rsidR="00E410EB" w:rsidRPr="000747C3" w14:paraId="7BECDDF4" w14:textId="77777777" w:rsidTr="00E376B3">
        <w:trPr>
          <w:trHeight w:val="288"/>
        </w:trPr>
        <w:tc>
          <w:tcPr>
            <w:tcW w:w="2610" w:type="dxa"/>
            <w:vAlign w:val="center"/>
          </w:tcPr>
          <w:p w14:paraId="0B54FC4D" w14:textId="4B6415F3" w:rsidR="00E410EB" w:rsidRPr="000747C3" w:rsidRDefault="006649CF" w:rsidP="00E376B3">
            <w:pPr>
              <w:jc w:val="center"/>
              <w:rPr>
                <w:b/>
                <w:bCs/>
                <w:sz w:val="20"/>
                <w:szCs w:val="20"/>
              </w:rPr>
            </w:pPr>
            <w:r w:rsidRPr="000747C3">
              <w:rPr>
                <w:sz w:val="20"/>
                <w:szCs w:val="20"/>
              </w:rPr>
              <w:t>C</w:t>
            </w:r>
            <w:r w:rsidR="00E410EB" w:rsidRPr="000747C3">
              <w:rPr>
                <w:sz w:val="20"/>
                <w:szCs w:val="20"/>
              </w:rPr>
              <w:t>2</w:t>
            </w:r>
          </w:p>
        </w:tc>
        <w:tc>
          <w:tcPr>
            <w:tcW w:w="3240" w:type="dxa"/>
            <w:vAlign w:val="center"/>
          </w:tcPr>
          <w:p w14:paraId="565FD7FC" w14:textId="55DC15A2" w:rsidR="00E410EB" w:rsidRPr="000747C3" w:rsidRDefault="00E410EB" w:rsidP="000747C3">
            <w:pPr>
              <w:jc w:val="center"/>
              <w:rPr>
                <w:sz w:val="20"/>
                <w:szCs w:val="20"/>
              </w:rPr>
            </w:pPr>
            <w:r w:rsidRPr="000747C3">
              <w:rPr>
                <w:sz w:val="20"/>
                <w:szCs w:val="20"/>
              </w:rPr>
              <w:t>40,000</w:t>
            </w:r>
          </w:p>
        </w:tc>
        <w:tc>
          <w:tcPr>
            <w:tcW w:w="3505" w:type="dxa"/>
            <w:vAlign w:val="center"/>
          </w:tcPr>
          <w:p w14:paraId="35EDB95C" w14:textId="2F47BE23" w:rsidR="00E410EB" w:rsidRPr="000747C3" w:rsidRDefault="005D2065" w:rsidP="000747C3">
            <w:pPr>
              <w:jc w:val="center"/>
              <w:rPr>
                <w:sz w:val="20"/>
                <w:szCs w:val="20"/>
              </w:rPr>
            </w:pPr>
            <w:r w:rsidRPr="000747C3">
              <w:rPr>
                <w:sz w:val="20"/>
                <w:szCs w:val="20"/>
              </w:rPr>
              <w:t>200</w:t>
            </w:r>
          </w:p>
        </w:tc>
      </w:tr>
      <w:tr w:rsidR="00E410EB" w:rsidRPr="000747C3" w14:paraId="5DE09638" w14:textId="77777777" w:rsidTr="00E376B3">
        <w:trPr>
          <w:trHeight w:val="288"/>
        </w:trPr>
        <w:tc>
          <w:tcPr>
            <w:tcW w:w="2610" w:type="dxa"/>
            <w:vAlign w:val="center"/>
          </w:tcPr>
          <w:p w14:paraId="490BCA2F" w14:textId="59AAEE55" w:rsidR="00E410EB" w:rsidRPr="000747C3" w:rsidRDefault="00E410EB" w:rsidP="00E376B3">
            <w:pPr>
              <w:jc w:val="center"/>
              <w:rPr>
                <w:b/>
                <w:bCs/>
                <w:sz w:val="20"/>
                <w:szCs w:val="20"/>
              </w:rPr>
            </w:pPr>
            <w:r w:rsidRPr="000747C3">
              <w:rPr>
                <w:sz w:val="20"/>
                <w:szCs w:val="20"/>
              </w:rPr>
              <w:t>C3</w:t>
            </w:r>
          </w:p>
        </w:tc>
        <w:tc>
          <w:tcPr>
            <w:tcW w:w="3240" w:type="dxa"/>
            <w:vAlign w:val="center"/>
          </w:tcPr>
          <w:p w14:paraId="64584051" w14:textId="4E04C09E" w:rsidR="00E410EB" w:rsidRPr="000747C3" w:rsidRDefault="00E410EB" w:rsidP="000747C3">
            <w:pPr>
              <w:jc w:val="center"/>
              <w:rPr>
                <w:sz w:val="20"/>
                <w:szCs w:val="20"/>
              </w:rPr>
            </w:pPr>
            <w:r w:rsidRPr="000747C3">
              <w:rPr>
                <w:sz w:val="20"/>
                <w:szCs w:val="20"/>
              </w:rPr>
              <w:t>40,000</w:t>
            </w:r>
          </w:p>
        </w:tc>
        <w:tc>
          <w:tcPr>
            <w:tcW w:w="3505" w:type="dxa"/>
            <w:vAlign w:val="center"/>
          </w:tcPr>
          <w:p w14:paraId="28A85C10" w14:textId="088B1F64" w:rsidR="00E410EB" w:rsidRPr="000747C3" w:rsidRDefault="005D2065" w:rsidP="000747C3">
            <w:pPr>
              <w:jc w:val="center"/>
              <w:rPr>
                <w:sz w:val="20"/>
                <w:szCs w:val="20"/>
              </w:rPr>
            </w:pPr>
            <w:r w:rsidRPr="000747C3">
              <w:rPr>
                <w:sz w:val="20"/>
                <w:szCs w:val="20"/>
              </w:rPr>
              <w:t>200</w:t>
            </w:r>
          </w:p>
        </w:tc>
      </w:tr>
      <w:tr w:rsidR="000747C3" w:rsidRPr="000747C3" w14:paraId="7380E6CA" w14:textId="77777777" w:rsidTr="00E376B3">
        <w:trPr>
          <w:trHeight w:val="288"/>
        </w:trPr>
        <w:tc>
          <w:tcPr>
            <w:tcW w:w="9355" w:type="dxa"/>
            <w:gridSpan w:val="3"/>
            <w:shd w:val="clear" w:color="auto" w:fill="F2F2F2" w:themeFill="background1" w:themeFillShade="F2"/>
            <w:vAlign w:val="center"/>
          </w:tcPr>
          <w:p w14:paraId="2A64AE56" w14:textId="27D8EE57" w:rsidR="000747C3" w:rsidRPr="000747C3" w:rsidRDefault="000747C3" w:rsidP="00E376B3">
            <w:pPr>
              <w:rPr>
                <w:sz w:val="20"/>
                <w:szCs w:val="20"/>
              </w:rPr>
            </w:pPr>
            <w:r w:rsidRPr="000747C3">
              <w:rPr>
                <w:b/>
                <w:bCs/>
                <w:sz w:val="20"/>
                <w:szCs w:val="20"/>
              </w:rPr>
              <w:t>Industrial Districts</w:t>
            </w:r>
          </w:p>
        </w:tc>
      </w:tr>
      <w:tr w:rsidR="00E410EB" w:rsidRPr="000747C3" w14:paraId="510B111C" w14:textId="77777777" w:rsidTr="00E376B3">
        <w:trPr>
          <w:trHeight w:val="288"/>
        </w:trPr>
        <w:tc>
          <w:tcPr>
            <w:tcW w:w="2610" w:type="dxa"/>
            <w:vAlign w:val="center"/>
          </w:tcPr>
          <w:p w14:paraId="3322D383" w14:textId="1C04BB8F" w:rsidR="00E410EB" w:rsidRPr="000747C3" w:rsidRDefault="00E410EB" w:rsidP="00E376B3">
            <w:pPr>
              <w:jc w:val="center"/>
              <w:rPr>
                <w:sz w:val="20"/>
                <w:szCs w:val="20"/>
              </w:rPr>
            </w:pPr>
            <w:r w:rsidRPr="000747C3">
              <w:rPr>
                <w:sz w:val="20"/>
                <w:szCs w:val="20"/>
              </w:rPr>
              <w:t>I1</w:t>
            </w:r>
          </w:p>
        </w:tc>
        <w:tc>
          <w:tcPr>
            <w:tcW w:w="3240" w:type="dxa"/>
            <w:vAlign w:val="center"/>
          </w:tcPr>
          <w:p w14:paraId="5A191371" w14:textId="538D8B70" w:rsidR="00E410EB" w:rsidRPr="000747C3" w:rsidRDefault="00E410EB" w:rsidP="000747C3">
            <w:pPr>
              <w:jc w:val="center"/>
              <w:rPr>
                <w:sz w:val="20"/>
                <w:szCs w:val="20"/>
              </w:rPr>
            </w:pPr>
            <w:r w:rsidRPr="000747C3">
              <w:rPr>
                <w:sz w:val="20"/>
                <w:szCs w:val="20"/>
              </w:rPr>
              <w:t>40,000</w:t>
            </w:r>
          </w:p>
        </w:tc>
        <w:tc>
          <w:tcPr>
            <w:tcW w:w="3505" w:type="dxa"/>
            <w:vAlign w:val="center"/>
          </w:tcPr>
          <w:p w14:paraId="0F0BC180" w14:textId="1296057D" w:rsidR="00E410EB" w:rsidRPr="000747C3" w:rsidRDefault="005D2065" w:rsidP="000747C3">
            <w:pPr>
              <w:jc w:val="center"/>
              <w:rPr>
                <w:sz w:val="20"/>
                <w:szCs w:val="20"/>
              </w:rPr>
            </w:pPr>
            <w:r w:rsidRPr="000747C3">
              <w:rPr>
                <w:sz w:val="20"/>
                <w:szCs w:val="20"/>
              </w:rPr>
              <w:t>200</w:t>
            </w:r>
          </w:p>
        </w:tc>
      </w:tr>
    </w:tbl>
    <w:p w14:paraId="6C5D6DC6" w14:textId="025D1F38" w:rsidR="001D7F46" w:rsidRPr="00E376B3" w:rsidRDefault="001D7F46" w:rsidP="0022730D">
      <w:pPr>
        <w:jc w:val="both"/>
        <w:rPr>
          <w:i/>
          <w:iCs/>
          <w:sz w:val="20"/>
          <w:szCs w:val="20"/>
        </w:rPr>
      </w:pPr>
      <w:r w:rsidRPr="00E376B3">
        <w:rPr>
          <w:i/>
          <w:iCs/>
          <w:sz w:val="20"/>
          <w:szCs w:val="20"/>
        </w:rPr>
        <w:t>Source:</w:t>
      </w:r>
      <w:r w:rsidR="000747C3" w:rsidRPr="00E376B3">
        <w:rPr>
          <w:i/>
          <w:iCs/>
          <w:sz w:val="20"/>
          <w:szCs w:val="20"/>
        </w:rPr>
        <w:t xml:space="preserve"> </w:t>
      </w:r>
      <w:r w:rsidR="009743B9" w:rsidRPr="00E376B3">
        <w:rPr>
          <w:i/>
          <w:iCs/>
          <w:sz w:val="20"/>
          <w:szCs w:val="20"/>
        </w:rPr>
        <w:t>Town</w:t>
      </w:r>
      <w:r w:rsidR="00E410EB" w:rsidRPr="00E376B3">
        <w:rPr>
          <w:i/>
          <w:iCs/>
          <w:sz w:val="20"/>
          <w:szCs w:val="20"/>
        </w:rPr>
        <w:t xml:space="preserve"> of Mashpee</w:t>
      </w:r>
      <w:r w:rsidR="000747C3" w:rsidRPr="00E376B3">
        <w:rPr>
          <w:i/>
          <w:iCs/>
          <w:sz w:val="20"/>
          <w:szCs w:val="20"/>
        </w:rPr>
        <w:t>,</w:t>
      </w:r>
      <w:r w:rsidR="00E410EB" w:rsidRPr="00E376B3">
        <w:rPr>
          <w:i/>
          <w:iCs/>
          <w:sz w:val="20"/>
          <w:szCs w:val="20"/>
        </w:rPr>
        <w:t xml:space="preserve"> 2020</w:t>
      </w:r>
    </w:p>
    <w:p w14:paraId="07411DF3" w14:textId="3D7D6ECF" w:rsidR="008F3DFF" w:rsidRPr="00B83F17" w:rsidRDefault="00B83F17" w:rsidP="00E376B3">
      <w:pPr>
        <w:pStyle w:val="Sub-Subheading"/>
      </w:pPr>
      <w:r>
        <w:t xml:space="preserve">Overlay </w:t>
      </w:r>
      <w:r w:rsidRPr="001B62F8">
        <w:rPr>
          <w:color w:val="4472C4"/>
        </w:rPr>
        <w:t>Districts</w:t>
      </w:r>
    </w:p>
    <w:p w14:paraId="656E4E52" w14:textId="60E408C3" w:rsidR="0022730D" w:rsidRDefault="0022730D" w:rsidP="0022730D">
      <w:pPr>
        <w:jc w:val="both"/>
      </w:pPr>
      <w:r>
        <w:t xml:space="preserve">In addition to the underlying zoning districts described above, the </w:t>
      </w:r>
      <w:r w:rsidR="009743B9">
        <w:t>Town</w:t>
      </w:r>
      <w:r>
        <w:t xml:space="preserve"> </w:t>
      </w:r>
      <w:r w:rsidR="00514429">
        <w:t>applies</w:t>
      </w:r>
      <w:r w:rsidRPr="000A4CEA">
        <w:t xml:space="preserve"> </w:t>
      </w:r>
      <w:r w:rsidR="0003777D">
        <w:t>s</w:t>
      </w:r>
      <w:r w:rsidR="00B6550D">
        <w:t>even</w:t>
      </w:r>
      <w:r w:rsidR="005C3AC2">
        <w:t xml:space="preserve"> </w:t>
      </w:r>
      <w:r w:rsidRPr="000A4CEA">
        <w:t xml:space="preserve">overlay districts. An overlay </w:t>
      </w:r>
      <w:r w:rsidR="001D05AC">
        <w:t xml:space="preserve">district </w:t>
      </w:r>
      <w:r w:rsidRPr="000A4CEA">
        <w:t xml:space="preserve">is a specific type of zoning district that floats on top of </w:t>
      </w:r>
      <w:r w:rsidR="003A794B">
        <w:t xml:space="preserve">an </w:t>
      </w:r>
      <w:r w:rsidRPr="000A4CEA">
        <w:t>underlying zoning</w:t>
      </w:r>
      <w:r w:rsidR="003A794B">
        <w:t xml:space="preserve"> district and brings</w:t>
      </w:r>
      <w:r w:rsidR="003A794B" w:rsidRPr="003A794B">
        <w:t xml:space="preserve"> an additional layer of standards to all areas within </w:t>
      </w:r>
      <w:r w:rsidR="003A794B">
        <w:t>the</w:t>
      </w:r>
      <w:r w:rsidR="003A794B" w:rsidRPr="003A794B">
        <w:t xml:space="preserve"> defined overlay boundary, regardless of the underlying base zoning district. </w:t>
      </w:r>
      <w:r w:rsidRPr="000A4CEA">
        <w:t xml:space="preserve">Overlay districts </w:t>
      </w:r>
      <w:r w:rsidR="00562231">
        <w:t xml:space="preserve">can serve multiple purposes, such as encouraging denser development </w:t>
      </w:r>
      <w:r w:rsidR="00237C3B">
        <w:t xml:space="preserve">or </w:t>
      </w:r>
      <w:r w:rsidR="00237C3B" w:rsidRPr="000A4CEA">
        <w:t>discouraging</w:t>
      </w:r>
      <w:r w:rsidR="00562231" w:rsidRPr="000A4CEA">
        <w:t xml:space="preserve"> </w:t>
      </w:r>
      <w:r w:rsidRPr="000A4CEA">
        <w:t xml:space="preserve">development in natural resource areas.  </w:t>
      </w:r>
      <w:r w:rsidR="002E0A55">
        <w:t xml:space="preserve">Overlay districts are shown in </w:t>
      </w:r>
      <w:r w:rsidR="002E0A55" w:rsidRPr="002E0A55">
        <w:rPr>
          <w:highlight w:val="yellow"/>
        </w:rPr>
        <w:t>Map X.</w:t>
      </w:r>
    </w:p>
    <w:p w14:paraId="674E418C" w14:textId="19497DA0" w:rsidR="000534CB" w:rsidRDefault="000534CB" w:rsidP="00E376B3">
      <w:pPr>
        <w:spacing w:after="0"/>
        <w:jc w:val="both"/>
      </w:pPr>
      <w:r>
        <w:t xml:space="preserve">Below is </w:t>
      </w:r>
      <w:r w:rsidR="00380418">
        <w:t>summary</w:t>
      </w:r>
      <w:r w:rsidR="00377CDF">
        <w:t xml:space="preserve"> </w:t>
      </w:r>
      <w:r w:rsidR="00380418">
        <w:t>of the</w:t>
      </w:r>
      <w:r w:rsidR="00377CDF">
        <w:t xml:space="preserve"> overlay districts </w:t>
      </w:r>
      <w:r>
        <w:t>provided in the Zoning Bylaw</w:t>
      </w:r>
      <w:r w:rsidR="00380418">
        <w:t xml:space="preserve"> along with any dimensional or use restrictions associated with the overlay</w:t>
      </w:r>
      <w:r>
        <w:t xml:space="preserve">:  </w:t>
      </w:r>
    </w:p>
    <w:p w14:paraId="2D54D329" w14:textId="77777777" w:rsidR="002273BD" w:rsidRDefault="002273BD" w:rsidP="0022730D">
      <w:pPr>
        <w:pStyle w:val="NoSpacing"/>
      </w:pPr>
    </w:p>
    <w:p w14:paraId="11ABA560" w14:textId="5878D55F" w:rsidR="002273BD" w:rsidRPr="00B83F17" w:rsidRDefault="002273BD" w:rsidP="002E0A55">
      <w:pPr>
        <w:pStyle w:val="NoSpacing"/>
        <w:rPr>
          <w:b/>
          <w:bCs/>
        </w:rPr>
      </w:pPr>
      <w:r w:rsidRPr="00B83F17">
        <w:rPr>
          <w:b/>
          <w:bCs/>
        </w:rPr>
        <w:t>Groundwater Protection District</w:t>
      </w:r>
    </w:p>
    <w:p w14:paraId="3F3BC010" w14:textId="29864D07" w:rsidR="00BB4522" w:rsidRDefault="00520EFD" w:rsidP="002E0A55">
      <w:pPr>
        <w:jc w:val="both"/>
      </w:pPr>
      <w:r>
        <w:t>The purpose</w:t>
      </w:r>
      <w:r w:rsidR="00485F09">
        <w:t xml:space="preserve"> of Article XIII in the </w:t>
      </w:r>
      <w:r w:rsidR="005A2037">
        <w:t xml:space="preserve">Zoning </w:t>
      </w:r>
      <w:r w:rsidR="00EB2227">
        <w:t>Bylaw</w:t>
      </w:r>
      <w:r>
        <w:t xml:space="preserve"> </w:t>
      </w:r>
      <w:r w:rsidR="00485F09">
        <w:t xml:space="preserve">is </w:t>
      </w:r>
      <w:r>
        <w:t>to protect public health from the contamination of existing and potential public and private water supplies and to protect the general welfare by preserving limited water supplies for present and future use.</w:t>
      </w:r>
    </w:p>
    <w:p w14:paraId="18B68B20" w14:textId="2E9E8164" w:rsidR="005C3AC2" w:rsidRPr="00B83F17" w:rsidRDefault="00BB4522" w:rsidP="002E0A55">
      <w:pPr>
        <w:pStyle w:val="NoSpacing"/>
        <w:rPr>
          <w:b/>
          <w:bCs/>
        </w:rPr>
      </w:pPr>
      <w:proofErr w:type="spellStart"/>
      <w:r w:rsidRPr="00B83F17">
        <w:rPr>
          <w:b/>
          <w:bCs/>
        </w:rPr>
        <w:t>Popponesset</w:t>
      </w:r>
      <w:proofErr w:type="spellEnd"/>
      <w:r w:rsidRPr="00B83F17">
        <w:rPr>
          <w:b/>
          <w:bCs/>
        </w:rPr>
        <w:t xml:space="preserve"> Overlay District</w:t>
      </w:r>
    </w:p>
    <w:p w14:paraId="5261751C" w14:textId="0215530F" w:rsidR="00BB4522" w:rsidRDefault="009B02CF" w:rsidP="002E0A55">
      <w:pPr>
        <w:pStyle w:val="NoSpacing"/>
        <w:jc w:val="both"/>
        <w:rPr>
          <w:rFonts w:cs="Arial"/>
        </w:rPr>
      </w:pPr>
      <w:r>
        <w:t xml:space="preserve">The overlay </w:t>
      </w:r>
      <w:r w:rsidR="00562231">
        <w:t>allows for</w:t>
      </w:r>
      <w:r>
        <w:t xml:space="preserve"> small lot sizes </w:t>
      </w:r>
      <w:r w:rsidR="00562231">
        <w:t>(6,000 square feet) and greater lot coverage</w:t>
      </w:r>
      <w:r>
        <w:t xml:space="preserve">. </w:t>
      </w:r>
    </w:p>
    <w:p w14:paraId="6E3AD9F8" w14:textId="77777777" w:rsidR="009F6225" w:rsidRPr="007F4152" w:rsidRDefault="009F6225" w:rsidP="002E0A55">
      <w:pPr>
        <w:pStyle w:val="NoSpacing"/>
        <w:jc w:val="both"/>
      </w:pPr>
    </w:p>
    <w:p w14:paraId="68EBCFB8" w14:textId="11D6B80A" w:rsidR="00BB4522" w:rsidRPr="00B83F17" w:rsidRDefault="00BB4522" w:rsidP="001B62F8">
      <w:pPr>
        <w:pStyle w:val="NoSpacing"/>
        <w:rPr>
          <w:b/>
          <w:bCs/>
        </w:rPr>
      </w:pPr>
      <w:r w:rsidRPr="00B83F17">
        <w:rPr>
          <w:b/>
          <w:bCs/>
        </w:rPr>
        <w:t>Wireless Facility Overlay District</w:t>
      </w:r>
    </w:p>
    <w:p w14:paraId="277FDBD2" w14:textId="7229B0C4" w:rsidR="0044117F" w:rsidRDefault="0044117F" w:rsidP="002E0A55">
      <w:pPr>
        <w:jc w:val="both"/>
      </w:pPr>
      <w:r>
        <w:t xml:space="preserve">The area within the two hundred ten (210’) foot wide Commonwealth Electric Company transmission line easement running generally east-west between the Falmouth </w:t>
      </w:r>
      <w:r w:rsidR="009743B9">
        <w:t>Town</w:t>
      </w:r>
      <w:r w:rsidR="00562231">
        <w:t xml:space="preserve"> </w:t>
      </w:r>
      <w:r>
        <w:t xml:space="preserve">line and the Barnstable </w:t>
      </w:r>
      <w:r w:rsidR="009743B9">
        <w:t>Town</w:t>
      </w:r>
      <w:r w:rsidR="00562231">
        <w:t xml:space="preserve"> </w:t>
      </w:r>
      <w:r>
        <w:t xml:space="preserve">line, except that portion within the boundaries of the Otis A.N.G.B. Accident Prevention Zone; All other lands in the </w:t>
      </w:r>
      <w:r w:rsidR="009743B9">
        <w:t>Town</w:t>
      </w:r>
      <w:r w:rsidR="00562231">
        <w:t xml:space="preserve"> </w:t>
      </w:r>
      <w:r>
        <w:t xml:space="preserve">which are not located within the boundaries of the Mashpee National Wildlife Refuge, within one thousand (1000’) feet of the mean high water line of a Great Pond or a tidal water body, within </w:t>
      </w:r>
      <w:r w:rsidR="00562231">
        <w:t>historic districts</w:t>
      </w:r>
      <w:r>
        <w:t xml:space="preserve">, within one thousand (1000’) feet of a </w:t>
      </w:r>
      <w:r w:rsidR="00562231">
        <w:t xml:space="preserve">historic district </w:t>
      </w:r>
      <w:r>
        <w:t xml:space="preserve">or of structures or places listed in the Massachusetts State Register of Historic Places, within the Otis A.N.G.B. </w:t>
      </w:r>
      <w:r>
        <w:lastRenderedPageBreak/>
        <w:t>Accident Prevention Zone, within the R-3 or R-5 Zoning Districts or within three hundred (300’) feet of the right of way of any designated scenic roadway.</w:t>
      </w:r>
    </w:p>
    <w:p w14:paraId="5801F7FB" w14:textId="2D872AFA" w:rsidR="00AD765C" w:rsidRPr="00E376B3" w:rsidRDefault="00AD765C" w:rsidP="002E0A55">
      <w:pPr>
        <w:jc w:val="both"/>
      </w:pPr>
      <w:r>
        <w:t xml:space="preserve">This district is intended to minimize visual and environmental impacts, </w:t>
      </w:r>
      <w:r w:rsidRPr="002C53CC">
        <w:t xml:space="preserve">as well as any potential deleterious impact on property values, </w:t>
      </w:r>
      <w:r>
        <w:t>that may arise from the presence of</w:t>
      </w:r>
      <w:r w:rsidRPr="002C53CC">
        <w:t xml:space="preserve"> personal wireless service facilities</w:t>
      </w:r>
      <w:r>
        <w:t xml:space="preserve"> in the vicinity. N</w:t>
      </w:r>
      <w:r w:rsidRPr="002C53CC">
        <w:t>o personal wireless service facility shall be placed, constructed or modified within the town except in conformance with the requirements of this section, in conjunction with other regulations adopted by the Town, including historic district regulations, design review and other bylaws and regulations designed to encourage appropriate land use, environmental protection, and provision of adequate infrastructure development.</w:t>
      </w:r>
    </w:p>
    <w:p w14:paraId="763B3A9D" w14:textId="446F5088" w:rsidR="00BB4522" w:rsidRPr="00B83F17" w:rsidRDefault="00BB4522" w:rsidP="002E0A55">
      <w:pPr>
        <w:pStyle w:val="NoSpacing"/>
        <w:rPr>
          <w:b/>
          <w:bCs/>
        </w:rPr>
      </w:pPr>
      <w:r w:rsidRPr="00B83F17">
        <w:rPr>
          <w:b/>
          <w:bCs/>
        </w:rPr>
        <w:t>Mashpee Center Overlay District</w:t>
      </w:r>
    </w:p>
    <w:p w14:paraId="378F5A21" w14:textId="5B7A5243" w:rsidR="004423DE" w:rsidRDefault="00922B96" w:rsidP="002E0A55">
      <w:pPr>
        <w:jc w:val="both"/>
      </w:pPr>
      <w:r w:rsidRPr="00922B96">
        <w:t>The Mashpee Center Overlay District shall include those parcels shown on the 1998 Mashpee Assessors’ Maps as Map 27, Block 46, Map 28, Blocks 3 through 12, Map 35, Blocks 30 and 31, and Map 36, Blocks 1 through 20, 5A, 5B, 41 through 45, 47 and 49 through 52.</w:t>
      </w:r>
      <w:r w:rsidR="00150A86">
        <w:t xml:space="preserve"> The </w:t>
      </w:r>
      <w:r w:rsidR="00562231">
        <w:t xml:space="preserve">Mashpee </w:t>
      </w:r>
      <w:r w:rsidR="00150A86">
        <w:t xml:space="preserve">Historic District is </w:t>
      </w:r>
      <w:r w:rsidR="00562231">
        <w:t xml:space="preserve">located </w:t>
      </w:r>
      <w:r w:rsidR="00150A86">
        <w:t xml:space="preserve">within the Mashpee Center Overlay District. </w:t>
      </w:r>
    </w:p>
    <w:p w14:paraId="00A13039" w14:textId="7D7138A9" w:rsidR="0003777D" w:rsidRPr="00B83F17" w:rsidRDefault="0003777D" w:rsidP="002E0A55">
      <w:pPr>
        <w:pStyle w:val="NoSpacing"/>
        <w:rPr>
          <w:b/>
          <w:bCs/>
        </w:rPr>
      </w:pPr>
      <w:r w:rsidRPr="00B83F17">
        <w:rPr>
          <w:b/>
          <w:bCs/>
        </w:rPr>
        <w:t>Historic District</w:t>
      </w:r>
    </w:p>
    <w:p w14:paraId="294C3AAC" w14:textId="03208F9C" w:rsidR="00150A86" w:rsidRPr="00CA69BC" w:rsidRDefault="007F4152" w:rsidP="002E0A55">
      <w:pPr>
        <w:jc w:val="both"/>
      </w:pPr>
      <w:r w:rsidRPr="007F4152">
        <w:t xml:space="preserve">Section </w:t>
      </w:r>
      <w:r>
        <w:t xml:space="preserve">110-1 of the </w:t>
      </w:r>
      <w:r w:rsidR="00910F8A">
        <w:t xml:space="preserve">Mashpee </w:t>
      </w:r>
      <w:r w:rsidR="00FD4EBB">
        <w:t xml:space="preserve">General </w:t>
      </w:r>
      <w:r w:rsidR="00EB2227">
        <w:t>Bylaw</w:t>
      </w:r>
      <w:r>
        <w:t xml:space="preserve"> states that the purpose of the </w:t>
      </w:r>
      <w:r w:rsidR="00562231">
        <w:t xml:space="preserve">Historic </w:t>
      </w:r>
      <w:r>
        <w:t xml:space="preserve">District is to aid in the preservation and protection of the distinctive characteristics and architecture of buildings and places significant in the history of the </w:t>
      </w:r>
      <w:r w:rsidR="009743B9">
        <w:t>Town</w:t>
      </w:r>
      <w:r>
        <w:t>, the maintenance</w:t>
      </w:r>
      <w:r w:rsidR="00514429">
        <w:t>,</w:t>
      </w:r>
      <w:r>
        <w:t xml:space="preserve"> and improvement of their settings and the encouragement of new building designs compatible with the existing architecture.</w:t>
      </w:r>
      <w:r w:rsidR="00910F8A">
        <w:t xml:space="preserve"> </w:t>
      </w:r>
    </w:p>
    <w:p w14:paraId="7DCA052E" w14:textId="1331F95D" w:rsidR="00B15043" w:rsidRPr="00B83F17" w:rsidRDefault="00B15043" w:rsidP="002E0A55">
      <w:pPr>
        <w:pStyle w:val="NoSpacing"/>
        <w:rPr>
          <w:rStyle w:val="cf01"/>
          <w:rFonts w:ascii="Swis721 Lt BT" w:hAnsi="Swis721 Lt BT"/>
          <w:b/>
          <w:bCs/>
          <w:sz w:val="22"/>
          <w:szCs w:val="22"/>
        </w:rPr>
      </w:pPr>
      <w:r w:rsidRPr="00B83F17">
        <w:rPr>
          <w:rStyle w:val="cf01"/>
          <w:rFonts w:ascii="Swis721 Lt BT" w:hAnsi="Swis721 Lt BT"/>
          <w:b/>
          <w:bCs/>
          <w:sz w:val="22"/>
          <w:szCs w:val="22"/>
        </w:rPr>
        <w:t>Otis A.N.G. B. Accident Prevention Zone</w:t>
      </w:r>
    </w:p>
    <w:p w14:paraId="5457555A" w14:textId="6FA29F42" w:rsidR="0062793F" w:rsidRPr="00E376B3" w:rsidRDefault="007F3989" w:rsidP="002E0A55">
      <w:pPr>
        <w:jc w:val="both"/>
      </w:pPr>
      <w:r>
        <w:t xml:space="preserve">The </w:t>
      </w:r>
      <w:r w:rsidR="00AE4F17">
        <w:t xml:space="preserve">Otis A.N.G.B. Accident Prevention Zone </w:t>
      </w:r>
      <w:r>
        <w:t>is</w:t>
      </w:r>
      <w:r w:rsidR="00AE4F17">
        <w:t xml:space="preserve"> shown on a map entitled “Otis A.N.G. B. Accident Prevention Zone” dated January 1987</w:t>
      </w:r>
      <w:r>
        <w:t xml:space="preserve"> </w:t>
      </w:r>
      <w:r w:rsidR="00AE4F17">
        <w:t xml:space="preserve">on file in the office of the </w:t>
      </w:r>
      <w:r w:rsidR="009743B9">
        <w:t>Town</w:t>
      </w:r>
      <w:r w:rsidR="00AE4F17">
        <w:t xml:space="preserve"> Clerk</w:t>
      </w:r>
      <w:r>
        <w:t xml:space="preserve">. It is </w:t>
      </w:r>
      <w:r w:rsidR="00AE4F17">
        <w:t>considered part of th</w:t>
      </w:r>
      <w:r w:rsidR="009B02CF">
        <w:t>e</w:t>
      </w:r>
      <w:r w:rsidR="00AE4F17">
        <w:t xml:space="preserve"> </w:t>
      </w:r>
      <w:r w:rsidR="005A2037">
        <w:t xml:space="preserve">Zoning </w:t>
      </w:r>
      <w:r w:rsidR="00EB2227">
        <w:t>Bylaw</w:t>
      </w:r>
      <w:r w:rsidR="00AE4F17">
        <w:t xml:space="preserve">. </w:t>
      </w:r>
      <w:r w:rsidR="0050677D" w:rsidRPr="00042706">
        <w:t xml:space="preserve">The bylaw references to APZs are based on a map dated January 1987. Within this zone, new schools, hospitals, theaters, or places of public assembly are not allowed. </w:t>
      </w:r>
      <w:r w:rsidR="00AE4F17">
        <w:t xml:space="preserve">In addition, no portion of any structure located within </w:t>
      </w:r>
      <w:r w:rsidR="00514429">
        <w:t xml:space="preserve">the </w:t>
      </w:r>
      <w:r w:rsidR="00AE4F17">
        <w:t>said zone may exceed thirty-five (35’) feet in height, measured from the highest natural grade of the site at the foundation line.</w:t>
      </w:r>
      <w:r w:rsidR="005A2037" w:rsidRPr="005A2037">
        <w:t xml:space="preserve"> </w:t>
      </w:r>
      <w:r w:rsidR="0050677D" w:rsidRPr="00E376B3">
        <w:t>It was to prevent accidental crashes of landing planes into structures.</w:t>
      </w:r>
    </w:p>
    <w:p w14:paraId="3E912A54" w14:textId="06C64774" w:rsidR="00B6550D" w:rsidRPr="00B83F17" w:rsidRDefault="00B6550D" w:rsidP="002E0A55">
      <w:pPr>
        <w:pStyle w:val="NoSpacing"/>
        <w:rPr>
          <w:rStyle w:val="Emphasis"/>
          <w:b/>
          <w:bCs/>
          <w:i w:val="0"/>
          <w:iCs w:val="0"/>
          <w:shd w:val="clear" w:color="auto" w:fill="FFFFFF"/>
        </w:rPr>
      </w:pPr>
      <w:r w:rsidRPr="00B83F17">
        <w:rPr>
          <w:rStyle w:val="Emphasis"/>
          <w:b/>
          <w:bCs/>
          <w:i w:val="0"/>
          <w:iCs w:val="0"/>
          <w:shd w:val="clear" w:color="auto" w:fill="FFFFFF"/>
        </w:rPr>
        <w:t>Light Industrial Overlay District:</w:t>
      </w:r>
    </w:p>
    <w:p w14:paraId="552D88BA" w14:textId="6F69AA4A" w:rsidR="00B15043" w:rsidRDefault="00AE4F17" w:rsidP="002E0A55">
      <w:pPr>
        <w:jc w:val="both"/>
      </w:pPr>
      <w:r w:rsidRPr="00AE4F17">
        <w:t>The Light Industrial Overlay District include</w:t>
      </w:r>
      <w:r w:rsidR="00377CDF">
        <w:t>s</w:t>
      </w:r>
      <w:r w:rsidRPr="00AE4F17">
        <w:t xml:space="preserve"> all parcels shown as within the I-1 and C-3 Zoning Districts on the Official Zoning Map.</w:t>
      </w:r>
    </w:p>
    <w:p w14:paraId="48165AE0" w14:textId="71FBF45B" w:rsidR="00FB03AB" w:rsidRPr="00B83F17" w:rsidRDefault="00FB03AB" w:rsidP="002E0A55">
      <w:pPr>
        <w:spacing w:after="0"/>
        <w:jc w:val="both"/>
        <w:rPr>
          <w:b/>
          <w:bCs/>
          <w:color w:val="000000" w:themeColor="text1"/>
        </w:rPr>
      </w:pPr>
      <w:r w:rsidRPr="00B83F17">
        <w:rPr>
          <w:b/>
          <w:bCs/>
          <w:color w:val="000000" w:themeColor="text1"/>
        </w:rPr>
        <w:t>Areas of Critical Environmental Concern</w:t>
      </w:r>
      <w:r w:rsidR="00562231">
        <w:rPr>
          <w:b/>
          <w:bCs/>
          <w:color w:val="000000" w:themeColor="text1"/>
        </w:rPr>
        <w:t xml:space="preserve"> (ACEC)</w:t>
      </w:r>
    </w:p>
    <w:p w14:paraId="5EB900C0" w14:textId="69DA3A99" w:rsidR="00FB03AB" w:rsidRDefault="00FB03AB" w:rsidP="002E0A55">
      <w:pPr>
        <w:jc w:val="both"/>
      </w:pPr>
      <w:r w:rsidRPr="00520EFD">
        <w:t>The purpose of Article</w:t>
      </w:r>
      <w:r>
        <w:t xml:space="preserve"> XIV in the Zoning </w:t>
      </w:r>
      <w:r w:rsidR="00EB2227">
        <w:t>Bylaw</w:t>
      </w:r>
      <w:r w:rsidRPr="00520EFD">
        <w:t xml:space="preserve"> is the protection of Areas of Critical Environmental Concern, areas of significance for flood control or the prevention of storm damage, waters containing shellfish and fisheries</w:t>
      </w:r>
      <w:r w:rsidR="00514429">
        <w:t>,</w:t>
      </w:r>
      <w:r w:rsidRPr="00520EFD">
        <w:t xml:space="preserve"> and other public interests identified by the Wetlands Protection Act (MGL C. 131, §40 and 40A) and the </w:t>
      </w:r>
      <w:r w:rsidR="009743B9">
        <w:t>Town</w:t>
      </w:r>
      <w:r w:rsidRPr="00520EFD">
        <w:t xml:space="preserve">’s Wetlands Protection </w:t>
      </w:r>
      <w:r w:rsidR="00EB2227">
        <w:t>Bylaw</w:t>
      </w:r>
      <w:r w:rsidRPr="00520EFD">
        <w:t>.</w:t>
      </w:r>
      <w:r>
        <w:t xml:space="preserve"> </w:t>
      </w:r>
    </w:p>
    <w:p w14:paraId="1B7C1143" w14:textId="7406DD04" w:rsidR="00FB03AB" w:rsidRPr="00B83F17" w:rsidRDefault="00FB03AB" w:rsidP="002E0A55">
      <w:pPr>
        <w:spacing w:after="0"/>
        <w:jc w:val="both"/>
        <w:rPr>
          <w:b/>
          <w:bCs/>
          <w:color w:val="000000" w:themeColor="text1"/>
        </w:rPr>
      </w:pPr>
      <w:r w:rsidRPr="00B83F17">
        <w:rPr>
          <w:b/>
          <w:bCs/>
          <w:color w:val="000000" w:themeColor="text1"/>
        </w:rPr>
        <w:t>The Floodplain District</w:t>
      </w:r>
    </w:p>
    <w:p w14:paraId="01AEFBE7" w14:textId="4659CFB3" w:rsidR="00FB03AB" w:rsidRPr="00E376B3" w:rsidRDefault="00FB03AB" w:rsidP="002E0A55">
      <w:pPr>
        <w:jc w:val="both"/>
      </w:pPr>
      <w:r>
        <w:t xml:space="preserve">Article XI in the Zoning </w:t>
      </w:r>
      <w:r w:rsidR="00EB2227">
        <w:t>Bylaw</w:t>
      </w:r>
      <w:r>
        <w:t xml:space="preserve"> covers t</w:t>
      </w:r>
      <w:r w:rsidRPr="00B6550D">
        <w:t>he Floodplain District</w:t>
      </w:r>
      <w:r>
        <w:t xml:space="preserve">, which </w:t>
      </w:r>
      <w:r w:rsidRPr="00B6550D">
        <w:t xml:space="preserve">includes all </w:t>
      </w:r>
      <w:r w:rsidR="006E6414">
        <w:t>S</w:t>
      </w:r>
      <w:r w:rsidRPr="00B6550D">
        <w:t xml:space="preserve">pecial </w:t>
      </w:r>
      <w:r w:rsidR="006E6414">
        <w:t>F</w:t>
      </w:r>
      <w:r w:rsidRPr="00B6550D">
        <w:t xml:space="preserve">lood </w:t>
      </w:r>
      <w:r w:rsidR="006E6414">
        <w:t>H</w:t>
      </w:r>
      <w:r w:rsidRPr="00B6550D">
        <w:t xml:space="preserve">azard </w:t>
      </w:r>
      <w:r w:rsidR="006E6414">
        <w:t>A</w:t>
      </w:r>
      <w:r w:rsidRPr="00B6550D">
        <w:t xml:space="preserve">reas within the </w:t>
      </w:r>
      <w:r w:rsidR="009743B9">
        <w:t>Town</w:t>
      </w:r>
      <w:r w:rsidR="00562231" w:rsidRPr="00B6550D">
        <w:t xml:space="preserve"> </w:t>
      </w:r>
      <w:r w:rsidRPr="00B6550D">
        <w:t>Designated as Zone EA or VE on the Barnstable County Flood Insurance Rate Map (FIRM) issued by the Federal Emergency Management Agency (FEMA) for the administration of the National Flood Insurance Program.</w:t>
      </w:r>
      <w:r>
        <w:t xml:space="preserve"> </w:t>
      </w:r>
    </w:p>
    <w:p w14:paraId="3102881D" w14:textId="7E81D992" w:rsidR="00FB03AB" w:rsidRPr="00B6550D" w:rsidRDefault="00FB03AB" w:rsidP="002E0A55">
      <w:pPr>
        <w:spacing w:after="0"/>
        <w:jc w:val="both"/>
        <w:rPr>
          <w:b/>
          <w:bCs/>
        </w:rPr>
      </w:pPr>
      <w:r w:rsidRPr="0037321E">
        <w:rPr>
          <w:b/>
          <w:bCs/>
        </w:rPr>
        <w:t>Marijuana Exclusion Zone</w:t>
      </w:r>
    </w:p>
    <w:p w14:paraId="492C870B" w14:textId="399B7983" w:rsidR="00FB03AB" w:rsidRPr="0037321E" w:rsidRDefault="00FB03AB" w:rsidP="002E0A55">
      <w:pPr>
        <w:jc w:val="both"/>
      </w:pPr>
      <w:r>
        <w:lastRenderedPageBreak/>
        <w:t xml:space="preserve">The purpose of the Marijuana Exclusion Zone is to show areas where marijuana establishments </w:t>
      </w:r>
      <w:r w:rsidR="001D05AC">
        <w:t xml:space="preserve">are </w:t>
      </w:r>
      <w:r>
        <w:t>not</w:t>
      </w:r>
      <w:r w:rsidR="001D05AC">
        <w:t xml:space="preserve"> permitted to</w:t>
      </w:r>
      <w:r>
        <w:t xml:space="preserve"> operate</w:t>
      </w:r>
      <w:r w:rsidR="001D05AC">
        <w:t xml:space="preserve"> within the </w:t>
      </w:r>
      <w:r w:rsidR="009743B9">
        <w:t>Town</w:t>
      </w:r>
      <w:r>
        <w:t xml:space="preserve">. </w:t>
      </w:r>
    </w:p>
    <w:p w14:paraId="6BBF8606" w14:textId="77777777" w:rsidR="00794CEB" w:rsidRDefault="00794CEB" w:rsidP="002E0A55">
      <w:pPr>
        <w:spacing w:after="0"/>
        <w:jc w:val="both"/>
        <w:rPr>
          <w:b/>
          <w:bCs/>
          <w:color w:val="4472C4"/>
        </w:rPr>
      </w:pPr>
      <w:r w:rsidRPr="00794CEB">
        <w:rPr>
          <w:b/>
          <w:bCs/>
          <w:color w:val="4472C4"/>
        </w:rPr>
        <w:t>Development Tools</w:t>
      </w:r>
    </w:p>
    <w:p w14:paraId="74B4D226" w14:textId="44BB5ADE" w:rsidR="00794CEB" w:rsidRPr="00994E97" w:rsidRDefault="00994E97" w:rsidP="002E0A55">
      <w:pPr>
        <w:spacing w:after="0"/>
        <w:jc w:val="both"/>
      </w:pPr>
      <w:r w:rsidRPr="00994E97">
        <w:t>The Mashpee Zoning Bylaw contains provisions beyond the designation of zoning districts and overlay districts to regulate development. Below is a summary of some of the regulatory tools available to the Town to manage development.</w:t>
      </w:r>
    </w:p>
    <w:p w14:paraId="4116E623" w14:textId="77777777" w:rsidR="00994E97" w:rsidRDefault="00994E97" w:rsidP="002E0A55">
      <w:pPr>
        <w:spacing w:after="0"/>
        <w:jc w:val="both"/>
        <w:rPr>
          <w:b/>
          <w:bCs/>
          <w:color w:val="4472C4"/>
        </w:rPr>
      </w:pPr>
    </w:p>
    <w:p w14:paraId="471BBE49" w14:textId="2ED63BC3" w:rsidR="0011714C" w:rsidRPr="00E376B3" w:rsidRDefault="0011714C" w:rsidP="002E0A55">
      <w:pPr>
        <w:spacing w:after="0"/>
        <w:jc w:val="both"/>
        <w:rPr>
          <w:b/>
          <w:bCs/>
        </w:rPr>
      </w:pPr>
      <w:r w:rsidRPr="00E376B3">
        <w:rPr>
          <w:b/>
          <w:bCs/>
        </w:rPr>
        <w:t>Cluster Development</w:t>
      </w:r>
    </w:p>
    <w:p w14:paraId="067A63F2" w14:textId="7CF74063" w:rsidR="00337E51" w:rsidRPr="00E376B3" w:rsidRDefault="0011714C" w:rsidP="002E0A55">
      <w:pPr>
        <w:jc w:val="both"/>
      </w:pPr>
      <w:r w:rsidRPr="00E376B3">
        <w:t xml:space="preserve">The purpose of </w:t>
      </w:r>
      <w:r w:rsidR="00197C72" w:rsidRPr="00E376B3">
        <w:t xml:space="preserve">Section </w:t>
      </w:r>
      <w:r w:rsidRPr="00E376B3">
        <w:t xml:space="preserve">174-47 of the Zoning Bylaw is to encourage the preservation of open space, reduce the impact of new development on the </w:t>
      </w:r>
      <w:r w:rsidR="009743B9">
        <w:t>Town</w:t>
      </w:r>
      <w:r w:rsidRPr="00E376B3">
        <w:t xml:space="preserve">’s water quality and natural resources, to promote the more efficient use of land and municipal infrastructure, and to protect and promote the health, safety, and general welfare of the inhabitants of the </w:t>
      </w:r>
      <w:r w:rsidR="009743B9">
        <w:t>Town</w:t>
      </w:r>
      <w:r w:rsidRPr="00E376B3">
        <w:t xml:space="preserve">. </w:t>
      </w:r>
    </w:p>
    <w:p w14:paraId="0A7089AF" w14:textId="76CE29B5" w:rsidR="00337E51" w:rsidRPr="00E376B3" w:rsidRDefault="00337E51" w:rsidP="002E0A55">
      <w:pPr>
        <w:spacing w:after="0"/>
        <w:jc w:val="both"/>
        <w:rPr>
          <w:b/>
          <w:bCs/>
        </w:rPr>
      </w:pPr>
      <w:r w:rsidRPr="00E376B3">
        <w:rPr>
          <w:b/>
          <w:bCs/>
        </w:rPr>
        <w:t>Accessory Apartment</w:t>
      </w:r>
    </w:p>
    <w:p w14:paraId="45863BFF" w14:textId="4629DD63" w:rsidR="00CA69BC" w:rsidRPr="00E376B3" w:rsidRDefault="00337E51" w:rsidP="002E0A55">
      <w:pPr>
        <w:jc w:val="both"/>
      </w:pPr>
      <w:r w:rsidRPr="00E376B3">
        <w:t xml:space="preserve">The Zoning Bylaw defines accessory apartments as apartments created within or detached from a single-family residential structure under the provisions of </w:t>
      </w:r>
      <w:r w:rsidR="00197C72" w:rsidRPr="00E376B3">
        <w:t>§174-45.4.</w:t>
      </w:r>
      <w:r w:rsidR="00FD19A4" w:rsidRPr="00E376B3">
        <w:t xml:space="preserve"> One accessory apartment is permitted per lot under the Zoning Bylaw.</w:t>
      </w:r>
      <w:r w:rsidR="0011714C" w:rsidRPr="00E376B3">
        <w:t xml:space="preserve"> </w:t>
      </w:r>
    </w:p>
    <w:p w14:paraId="6563B576" w14:textId="77777777" w:rsidR="002E0A55" w:rsidRPr="00994E97" w:rsidRDefault="002E0A55" w:rsidP="002E0A55">
      <w:pPr>
        <w:pStyle w:val="Sub-Subheading"/>
        <w:rPr>
          <w:color w:val="auto"/>
        </w:rPr>
      </w:pPr>
      <w:r w:rsidRPr="00994E97">
        <w:rPr>
          <w:color w:val="auto"/>
        </w:rPr>
        <w:t>Setbacks</w:t>
      </w:r>
    </w:p>
    <w:p w14:paraId="4C25E8E0" w14:textId="360716A8" w:rsidR="002E0A55" w:rsidRDefault="002E0A55" w:rsidP="002E0A55">
      <w:pPr>
        <w:spacing w:after="0"/>
        <w:jc w:val="both"/>
      </w:pPr>
      <w:r w:rsidRPr="00E376B3">
        <w:t xml:space="preserve">The purpose of the Mashpee Wetlands Protection Bylaw, Chapter 172 of the Mashpee General Bylaw, is to protect Wetlands, related water resources, and adjoining land areas in the </w:t>
      </w:r>
      <w:r>
        <w:t>Town</w:t>
      </w:r>
      <w:r w:rsidRPr="00E376B3">
        <w:t xml:space="preserve"> of Mashpee from a variety of human and natural threats. Zoning bylaws have been adopted to promote wetland conservation efforts. Article VII of the Zoning Bylaw outlines land space requirements, including building setback requirements from bodies of water, wetlands, and cranberry bogs. Section 174-33 notes that structures must adhere to a setback of at least 50 feet from any water or wetland. Section 174-34 requires a 150-foot setback for any habitable structure from any active [within the previous five years] cranberry bog or meadow.</w:t>
      </w:r>
    </w:p>
    <w:p w14:paraId="2D015893" w14:textId="77777777" w:rsidR="002E0A55" w:rsidRDefault="002E0A55" w:rsidP="002E0A55">
      <w:pPr>
        <w:spacing w:after="0"/>
        <w:jc w:val="both"/>
      </w:pPr>
    </w:p>
    <w:p w14:paraId="6B8043AB" w14:textId="24C1A412" w:rsidR="00FD19A4" w:rsidRPr="00E376B3" w:rsidRDefault="00FD19A4" w:rsidP="002E0A55">
      <w:pPr>
        <w:spacing w:after="0"/>
        <w:ind w:left="90"/>
        <w:jc w:val="both"/>
        <w:rPr>
          <w:b/>
          <w:bCs/>
        </w:rPr>
      </w:pPr>
      <w:commentRangeStart w:id="3"/>
      <w:commentRangeStart w:id="4"/>
      <w:r w:rsidRPr="00E376B3">
        <w:rPr>
          <w:b/>
          <w:bCs/>
        </w:rPr>
        <w:t>Open Space Incentive Development</w:t>
      </w:r>
      <w:commentRangeEnd w:id="3"/>
      <w:r w:rsidR="00334AA6" w:rsidRPr="00E376B3">
        <w:rPr>
          <w:rStyle w:val="CommentReference"/>
          <w:sz w:val="22"/>
          <w:szCs w:val="22"/>
        </w:rPr>
        <w:commentReference w:id="3"/>
      </w:r>
      <w:commentRangeEnd w:id="4"/>
      <w:r w:rsidR="00BD4711">
        <w:rPr>
          <w:rStyle w:val="CommentReference"/>
        </w:rPr>
        <w:commentReference w:id="4"/>
      </w:r>
    </w:p>
    <w:p w14:paraId="14BA3D14" w14:textId="14EFF018" w:rsidR="00FD19A4" w:rsidRDefault="00FD19A4" w:rsidP="002E0A55">
      <w:pPr>
        <w:jc w:val="both"/>
      </w:pPr>
      <w:r w:rsidRPr="00E376B3">
        <w:t>Section 174-46 details the zoning regulations related to open space protection in Mashpee. A</w:t>
      </w:r>
      <w:r w:rsidR="00334AA6" w:rsidRPr="00E376B3">
        <w:t>n open space incentive development maybe granted through</w:t>
      </w:r>
      <w:r w:rsidRPr="00E376B3">
        <w:t xml:space="preserve"> special permit by the Planning Board in any residential district, except as provided under Subsection H., to preserve open space and natural resource areas within the </w:t>
      </w:r>
      <w:r w:rsidR="009743B9">
        <w:t>Town</w:t>
      </w:r>
      <w:r w:rsidR="00334AA6" w:rsidRPr="00E376B3">
        <w:t>, promote an efficient pattern of land development, and promote the health, safety</w:t>
      </w:r>
      <w:r w:rsidR="006E541D">
        <w:t>,</w:t>
      </w:r>
      <w:r w:rsidR="00334AA6" w:rsidRPr="00E376B3">
        <w:t xml:space="preserve"> and general welfare of the inhabitants of the </w:t>
      </w:r>
      <w:r w:rsidR="009743B9">
        <w:t>Town</w:t>
      </w:r>
      <w:r w:rsidR="00334AA6" w:rsidRPr="00E376B3">
        <w:t>.</w:t>
      </w:r>
    </w:p>
    <w:p w14:paraId="6045AD51" w14:textId="69EBAF94" w:rsidR="00B6550D" w:rsidRPr="00B83F17" w:rsidRDefault="00B6550D" w:rsidP="002A1619">
      <w:pPr>
        <w:spacing w:after="0"/>
        <w:jc w:val="both"/>
        <w:rPr>
          <w:b/>
          <w:bCs/>
          <w:color w:val="000000" w:themeColor="text1"/>
        </w:rPr>
      </w:pPr>
      <w:r w:rsidRPr="00B83F17">
        <w:rPr>
          <w:b/>
          <w:bCs/>
          <w:color w:val="000000" w:themeColor="text1"/>
        </w:rPr>
        <w:t xml:space="preserve">Mashpee and </w:t>
      </w:r>
      <w:proofErr w:type="spellStart"/>
      <w:r w:rsidRPr="00B83F17">
        <w:rPr>
          <w:b/>
          <w:bCs/>
          <w:color w:val="000000" w:themeColor="text1"/>
        </w:rPr>
        <w:t>Quashnet</w:t>
      </w:r>
      <w:proofErr w:type="spellEnd"/>
      <w:r w:rsidRPr="00B83F17">
        <w:rPr>
          <w:b/>
          <w:bCs/>
          <w:color w:val="000000" w:themeColor="text1"/>
        </w:rPr>
        <w:t xml:space="preserve"> River Protective Districts</w:t>
      </w:r>
    </w:p>
    <w:p w14:paraId="28A942F7" w14:textId="5D018796" w:rsidR="00520EFD" w:rsidRPr="00485F09" w:rsidRDefault="00520EFD" w:rsidP="002A1619">
      <w:pPr>
        <w:jc w:val="both"/>
      </w:pPr>
      <w:r w:rsidRPr="00520EFD">
        <w:t>The purpose of this Article</w:t>
      </w:r>
      <w:r w:rsidR="00485F09">
        <w:t xml:space="preserve"> XII in the </w:t>
      </w:r>
      <w:r w:rsidR="005A2037">
        <w:t xml:space="preserve">Zoning </w:t>
      </w:r>
      <w:r w:rsidR="00EB2227">
        <w:t>Bylaw</w:t>
      </w:r>
      <w:r w:rsidRPr="00520EFD">
        <w:t xml:space="preserve"> is the </w:t>
      </w:r>
      <w:r w:rsidRPr="00485F09">
        <w:t xml:space="preserve">preservation of the Mashpee River and </w:t>
      </w:r>
      <w:proofErr w:type="spellStart"/>
      <w:r w:rsidRPr="00485F09">
        <w:t>Quashnet</w:t>
      </w:r>
      <w:proofErr w:type="spellEnd"/>
      <w:r w:rsidRPr="00485F09">
        <w:t xml:space="preserve"> River and the protection of wildlife resources.</w:t>
      </w:r>
      <w:r w:rsidR="00485F09" w:rsidRPr="00485F09">
        <w:t xml:space="preserve"> The Mashpee and </w:t>
      </w:r>
      <w:proofErr w:type="spellStart"/>
      <w:r w:rsidR="00485F09" w:rsidRPr="00485F09">
        <w:t>Quashnet</w:t>
      </w:r>
      <w:proofErr w:type="spellEnd"/>
      <w:r w:rsidR="00485F09" w:rsidRPr="00485F09">
        <w:t xml:space="preserve"> River Protective Districts Areas are shown on the Open Space Incentive Plan</w:t>
      </w:r>
      <w:r w:rsidR="005431A2">
        <w:t>.</w:t>
      </w:r>
    </w:p>
    <w:p w14:paraId="27F58F1E" w14:textId="11BBC11F" w:rsidR="00B6550D" w:rsidRPr="00B83F17" w:rsidRDefault="00B6550D" w:rsidP="002A1619">
      <w:pPr>
        <w:spacing w:after="0"/>
        <w:jc w:val="both"/>
        <w:rPr>
          <w:b/>
          <w:bCs/>
          <w:color w:val="000000" w:themeColor="text1"/>
        </w:rPr>
      </w:pPr>
      <w:r w:rsidRPr="00B83F17">
        <w:rPr>
          <w:b/>
          <w:bCs/>
          <w:color w:val="000000" w:themeColor="text1"/>
        </w:rPr>
        <w:t>Primary and Secondary Conservation Areas</w:t>
      </w:r>
    </w:p>
    <w:p w14:paraId="26D82D62" w14:textId="4F87377D" w:rsidR="007211AE" w:rsidRPr="007211AE" w:rsidRDefault="00485F09" w:rsidP="002A1619">
      <w:r w:rsidRPr="00485F09">
        <w:t>The Primary and Secondary Conservation Areas are shown on the Open Space Incentive Plan</w:t>
      </w:r>
      <w:r w:rsidR="005431A2">
        <w:t>.</w:t>
      </w:r>
      <w:r w:rsidR="0062793F">
        <w:rPr>
          <w:color w:val="343434"/>
        </w:rPr>
        <w:t xml:space="preserve"> </w:t>
      </w:r>
      <w:r w:rsidR="00530F00" w:rsidRPr="00570BA7">
        <w:t xml:space="preserve">Table </w:t>
      </w:r>
      <w:r w:rsidR="00530F00">
        <w:t>5-</w:t>
      </w:r>
      <w:r w:rsidR="001D7F46">
        <w:t>5</w:t>
      </w:r>
      <w:r w:rsidR="00530F00" w:rsidRPr="00570BA7">
        <w:t xml:space="preserve"> below summarizes the total land area by </w:t>
      </w:r>
      <w:r w:rsidR="00530F00">
        <w:t>zoning c</w:t>
      </w:r>
      <w:r w:rsidR="006814C3">
        <w:t>ategories</w:t>
      </w:r>
      <w:r w:rsidR="00530F00">
        <w:t xml:space="preserve">.  </w:t>
      </w:r>
      <w:r w:rsidR="00530F00" w:rsidRPr="00570BA7">
        <w:t xml:space="preserve">  </w:t>
      </w:r>
    </w:p>
    <w:tbl>
      <w:tblPr>
        <w:tblStyle w:val="TableGrid1"/>
        <w:tblW w:w="9360" w:type="dxa"/>
        <w:tblInd w:w="-5" w:type="dxa"/>
        <w:tblLook w:val="04A0" w:firstRow="1" w:lastRow="0" w:firstColumn="1" w:lastColumn="0" w:noHBand="0" w:noVBand="1"/>
      </w:tblPr>
      <w:tblGrid>
        <w:gridCol w:w="2068"/>
        <w:gridCol w:w="908"/>
        <w:gridCol w:w="1888"/>
        <w:gridCol w:w="2156"/>
        <w:gridCol w:w="2340"/>
      </w:tblGrid>
      <w:tr w:rsidR="0031652A" w:rsidRPr="00CA69BC" w14:paraId="50FE98F0" w14:textId="77777777" w:rsidTr="00E376B3">
        <w:trPr>
          <w:trHeight w:val="288"/>
          <w:tblHeader/>
        </w:trPr>
        <w:tc>
          <w:tcPr>
            <w:tcW w:w="9360" w:type="dxa"/>
            <w:gridSpan w:val="5"/>
            <w:tcBorders>
              <w:bottom w:val="single" w:sz="4" w:space="0" w:color="auto"/>
            </w:tcBorders>
            <w:shd w:val="clear" w:color="auto" w:fill="007FB2"/>
            <w:vAlign w:val="center"/>
          </w:tcPr>
          <w:p w14:paraId="1FF339D6" w14:textId="76F39092" w:rsidR="0031652A" w:rsidRPr="00CA69BC" w:rsidRDefault="005D4760" w:rsidP="00E376B3">
            <w:pPr>
              <w:rPr>
                <w:rFonts w:cs="Arial"/>
                <w:b/>
                <w:bCs/>
                <w:color w:val="FFFFFF" w:themeColor="background1"/>
                <w:sz w:val="20"/>
                <w:szCs w:val="20"/>
              </w:rPr>
            </w:pPr>
            <w:r w:rsidRPr="00CA69BC">
              <w:rPr>
                <w:rFonts w:cs="Arial"/>
                <w:b/>
                <w:bCs/>
                <w:color w:val="FFFFFF" w:themeColor="background1"/>
                <w:sz w:val="20"/>
                <w:szCs w:val="20"/>
              </w:rPr>
              <w:lastRenderedPageBreak/>
              <w:t>Table 5-</w:t>
            </w:r>
            <w:r>
              <w:rPr>
                <w:rFonts w:cs="Arial"/>
                <w:b/>
                <w:bCs/>
                <w:color w:val="FFFFFF" w:themeColor="background1"/>
                <w:sz w:val="20"/>
                <w:szCs w:val="20"/>
              </w:rPr>
              <w:fldChar w:fldCharType="begin"/>
            </w:r>
            <w:r>
              <w:rPr>
                <w:rFonts w:cs="Arial"/>
                <w:b/>
                <w:bCs/>
                <w:color w:val="FFFFFF" w:themeColor="background1"/>
                <w:sz w:val="20"/>
                <w:szCs w:val="20"/>
              </w:rPr>
              <w:instrText xml:space="preserve"> SEQ Table \* MERGEFORMAT </w:instrText>
            </w:r>
            <w:r>
              <w:rPr>
                <w:rFonts w:cs="Arial"/>
                <w:b/>
                <w:bCs/>
                <w:color w:val="FFFFFF" w:themeColor="background1"/>
                <w:sz w:val="20"/>
                <w:szCs w:val="20"/>
              </w:rPr>
              <w:fldChar w:fldCharType="separate"/>
            </w:r>
            <w:r>
              <w:rPr>
                <w:rFonts w:cs="Arial"/>
                <w:b/>
                <w:bCs/>
                <w:noProof/>
                <w:color w:val="FFFFFF" w:themeColor="background1"/>
                <w:sz w:val="20"/>
                <w:szCs w:val="20"/>
              </w:rPr>
              <w:t>5</w:t>
            </w:r>
            <w:r>
              <w:rPr>
                <w:rFonts w:cs="Arial"/>
                <w:b/>
                <w:bCs/>
                <w:color w:val="FFFFFF" w:themeColor="background1"/>
                <w:sz w:val="20"/>
                <w:szCs w:val="20"/>
              </w:rPr>
              <w:fldChar w:fldCharType="end"/>
            </w:r>
            <w:r>
              <w:rPr>
                <w:rFonts w:cs="Arial"/>
                <w:b/>
                <w:bCs/>
                <w:color w:val="FFFFFF" w:themeColor="background1"/>
                <w:sz w:val="20"/>
                <w:szCs w:val="20"/>
              </w:rPr>
              <w:t xml:space="preserve">. </w:t>
            </w:r>
            <w:r w:rsidR="0031652A" w:rsidRPr="00CA69BC">
              <w:rPr>
                <w:rFonts w:cs="Arial"/>
                <w:b/>
                <w:bCs/>
                <w:color w:val="FFFFFF" w:themeColor="background1"/>
                <w:sz w:val="20"/>
                <w:szCs w:val="20"/>
              </w:rPr>
              <w:t>Land Area by Zoning Category</w:t>
            </w:r>
          </w:p>
        </w:tc>
      </w:tr>
      <w:tr w:rsidR="005D4760" w:rsidRPr="00CA69BC" w14:paraId="5AA61F95" w14:textId="4696EFB3" w:rsidTr="00E376B3">
        <w:trPr>
          <w:trHeight w:val="288"/>
          <w:tblHeader/>
        </w:trPr>
        <w:tc>
          <w:tcPr>
            <w:tcW w:w="2068" w:type="dxa"/>
            <w:shd w:val="clear" w:color="auto" w:fill="007FB2"/>
            <w:vAlign w:val="center"/>
          </w:tcPr>
          <w:p w14:paraId="42FE9273" w14:textId="1D4D0E7A" w:rsidR="0031652A" w:rsidRPr="00CA69BC" w:rsidRDefault="0031652A" w:rsidP="007211AE">
            <w:pPr>
              <w:jc w:val="center"/>
              <w:rPr>
                <w:b/>
                <w:bCs/>
                <w:color w:val="FFFFFF" w:themeColor="background1"/>
                <w:sz w:val="20"/>
                <w:szCs w:val="20"/>
              </w:rPr>
            </w:pPr>
            <w:r w:rsidRPr="00CA69BC">
              <w:rPr>
                <w:b/>
                <w:bCs/>
                <w:color w:val="FFFFFF" w:themeColor="background1"/>
                <w:sz w:val="20"/>
                <w:szCs w:val="20"/>
              </w:rPr>
              <w:t>Zoning Category</w:t>
            </w:r>
          </w:p>
        </w:tc>
        <w:tc>
          <w:tcPr>
            <w:tcW w:w="908" w:type="dxa"/>
            <w:shd w:val="clear" w:color="auto" w:fill="007FB2"/>
            <w:vAlign w:val="center"/>
          </w:tcPr>
          <w:p w14:paraId="6711341A" w14:textId="479BF984" w:rsidR="0031652A" w:rsidRPr="00CA69BC" w:rsidRDefault="0031652A" w:rsidP="007211AE">
            <w:pPr>
              <w:jc w:val="center"/>
              <w:rPr>
                <w:b/>
                <w:bCs/>
                <w:color w:val="FFFFFF" w:themeColor="background1"/>
                <w:sz w:val="20"/>
                <w:szCs w:val="20"/>
              </w:rPr>
            </w:pPr>
            <w:r w:rsidRPr="00CA69BC">
              <w:rPr>
                <w:b/>
                <w:bCs/>
                <w:color w:val="FFFFFF" w:themeColor="background1"/>
                <w:sz w:val="20"/>
                <w:szCs w:val="20"/>
              </w:rPr>
              <w:t>Acres</w:t>
            </w:r>
          </w:p>
        </w:tc>
        <w:tc>
          <w:tcPr>
            <w:tcW w:w="1888" w:type="dxa"/>
            <w:shd w:val="clear" w:color="auto" w:fill="007FB2"/>
            <w:vAlign w:val="center"/>
          </w:tcPr>
          <w:p w14:paraId="1A08B21F" w14:textId="77777777" w:rsidR="0031652A" w:rsidRPr="00CA69BC" w:rsidRDefault="0031652A" w:rsidP="007211AE">
            <w:pPr>
              <w:jc w:val="center"/>
              <w:rPr>
                <w:b/>
                <w:bCs/>
                <w:color w:val="FFFFFF" w:themeColor="background1"/>
                <w:sz w:val="20"/>
                <w:szCs w:val="20"/>
              </w:rPr>
            </w:pPr>
            <w:r w:rsidRPr="00CA69BC">
              <w:rPr>
                <w:b/>
                <w:bCs/>
                <w:color w:val="FFFFFF" w:themeColor="background1"/>
                <w:sz w:val="20"/>
                <w:szCs w:val="20"/>
              </w:rPr>
              <w:t>Percentage of Total Land Area</w:t>
            </w:r>
          </w:p>
        </w:tc>
        <w:tc>
          <w:tcPr>
            <w:tcW w:w="2156" w:type="dxa"/>
            <w:shd w:val="clear" w:color="auto" w:fill="007FB2"/>
            <w:vAlign w:val="center"/>
          </w:tcPr>
          <w:p w14:paraId="281F3470" w14:textId="6DA1FC70" w:rsidR="0031652A" w:rsidRPr="00CA69BC" w:rsidRDefault="0031652A" w:rsidP="007211AE">
            <w:pPr>
              <w:jc w:val="center"/>
              <w:rPr>
                <w:b/>
                <w:bCs/>
                <w:color w:val="FFFFFF" w:themeColor="background1"/>
                <w:sz w:val="20"/>
                <w:szCs w:val="20"/>
              </w:rPr>
            </w:pPr>
            <w:r w:rsidRPr="00CA69BC">
              <w:rPr>
                <w:b/>
                <w:bCs/>
                <w:color w:val="FFFFFF" w:themeColor="background1"/>
                <w:sz w:val="20"/>
                <w:szCs w:val="20"/>
              </w:rPr>
              <w:t>Regulatory Authority</w:t>
            </w:r>
          </w:p>
        </w:tc>
        <w:tc>
          <w:tcPr>
            <w:tcW w:w="2340" w:type="dxa"/>
            <w:shd w:val="clear" w:color="auto" w:fill="007FB2"/>
            <w:vAlign w:val="center"/>
          </w:tcPr>
          <w:p w14:paraId="27768CAE" w14:textId="7A5E4E38" w:rsidR="0031652A" w:rsidRPr="00CA69BC" w:rsidRDefault="0031652A" w:rsidP="007211AE">
            <w:pPr>
              <w:jc w:val="center"/>
              <w:rPr>
                <w:b/>
                <w:bCs/>
                <w:color w:val="FFFFFF" w:themeColor="background1"/>
                <w:sz w:val="20"/>
                <w:szCs w:val="20"/>
              </w:rPr>
            </w:pPr>
            <w:r w:rsidRPr="00CA69BC">
              <w:rPr>
                <w:b/>
                <w:bCs/>
                <w:color w:val="FFFFFF" w:themeColor="background1"/>
                <w:sz w:val="20"/>
                <w:szCs w:val="20"/>
              </w:rPr>
              <w:t>Provisions</w:t>
            </w:r>
          </w:p>
        </w:tc>
      </w:tr>
      <w:tr w:rsidR="000747C3" w:rsidRPr="00CA69BC" w14:paraId="6E4FE8F4" w14:textId="09FFC336" w:rsidTr="000B4281">
        <w:trPr>
          <w:trHeight w:val="288"/>
        </w:trPr>
        <w:tc>
          <w:tcPr>
            <w:tcW w:w="9360" w:type="dxa"/>
            <w:gridSpan w:val="5"/>
            <w:shd w:val="clear" w:color="auto" w:fill="F2F2F2" w:themeFill="background1" w:themeFillShade="F2"/>
            <w:vAlign w:val="center"/>
          </w:tcPr>
          <w:p w14:paraId="33F0937C" w14:textId="710FAA3C" w:rsidR="000747C3" w:rsidRPr="00CA69BC" w:rsidRDefault="000747C3" w:rsidP="00E376B3">
            <w:pPr>
              <w:pStyle w:val="Heading6"/>
            </w:pPr>
            <w:r w:rsidRPr="00CA69BC">
              <w:t>Residential Districts</w:t>
            </w:r>
          </w:p>
        </w:tc>
      </w:tr>
      <w:tr w:rsidR="000747C3" w:rsidRPr="00CA69BC" w14:paraId="555D4D33" w14:textId="2F56BD9C" w:rsidTr="000747C3">
        <w:trPr>
          <w:trHeight w:val="288"/>
        </w:trPr>
        <w:tc>
          <w:tcPr>
            <w:tcW w:w="2068" w:type="dxa"/>
            <w:vAlign w:val="center"/>
          </w:tcPr>
          <w:p w14:paraId="0AA8D82C" w14:textId="77777777" w:rsidR="000747C3" w:rsidRPr="00CA69BC" w:rsidRDefault="000747C3" w:rsidP="000747C3">
            <w:pPr>
              <w:rPr>
                <w:color w:val="262626" w:themeColor="text1" w:themeTint="D9"/>
                <w:sz w:val="20"/>
                <w:szCs w:val="20"/>
              </w:rPr>
            </w:pPr>
            <w:r w:rsidRPr="00CA69BC">
              <w:rPr>
                <w:color w:val="262626" w:themeColor="text1" w:themeTint="D9"/>
                <w:sz w:val="20"/>
                <w:szCs w:val="20"/>
              </w:rPr>
              <w:t xml:space="preserve">R3 </w:t>
            </w:r>
          </w:p>
        </w:tc>
        <w:tc>
          <w:tcPr>
            <w:tcW w:w="908" w:type="dxa"/>
            <w:vAlign w:val="center"/>
          </w:tcPr>
          <w:p w14:paraId="7D324D31" w14:textId="35DFB8A0" w:rsidR="000747C3" w:rsidRPr="00CA69BC" w:rsidRDefault="000747C3" w:rsidP="000747C3">
            <w:pPr>
              <w:jc w:val="center"/>
              <w:rPr>
                <w:sz w:val="20"/>
                <w:szCs w:val="20"/>
              </w:rPr>
            </w:pPr>
            <w:r w:rsidRPr="00CA69BC">
              <w:rPr>
                <w:sz w:val="20"/>
                <w:szCs w:val="20"/>
              </w:rPr>
              <w:t>6084.1</w:t>
            </w:r>
          </w:p>
        </w:tc>
        <w:tc>
          <w:tcPr>
            <w:tcW w:w="1888" w:type="dxa"/>
            <w:vAlign w:val="center"/>
          </w:tcPr>
          <w:p w14:paraId="0DC839C7" w14:textId="04B42221" w:rsidR="000747C3" w:rsidRPr="00CA69BC" w:rsidRDefault="000747C3" w:rsidP="000747C3">
            <w:pPr>
              <w:jc w:val="center"/>
              <w:rPr>
                <w:sz w:val="20"/>
                <w:szCs w:val="20"/>
              </w:rPr>
            </w:pPr>
            <w:r w:rsidRPr="00CA69BC">
              <w:rPr>
                <w:sz w:val="20"/>
                <w:szCs w:val="20"/>
              </w:rPr>
              <w:t>37.1%</w:t>
            </w:r>
          </w:p>
        </w:tc>
        <w:tc>
          <w:tcPr>
            <w:tcW w:w="2156" w:type="dxa"/>
            <w:vMerge w:val="restart"/>
            <w:vAlign w:val="center"/>
          </w:tcPr>
          <w:p w14:paraId="5B254999" w14:textId="3AB1B574" w:rsidR="000747C3" w:rsidRPr="00CA69BC" w:rsidRDefault="000747C3" w:rsidP="000747C3">
            <w:pPr>
              <w:jc w:val="center"/>
              <w:rPr>
                <w:sz w:val="20"/>
                <w:szCs w:val="20"/>
              </w:rPr>
            </w:pPr>
            <w:r w:rsidRPr="00CA69BC">
              <w:rPr>
                <w:sz w:val="20"/>
                <w:szCs w:val="20"/>
              </w:rPr>
              <w:t>Town of Mashpee</w:t>
            </w:r>
          </w:p>
        </w:tc>
        <w:tc>
          <w:tcPr>
            <w:tcW w:w="2340" w:type="dxa"/>
            <w:vMerge w:val="restart"/>
            <w:vAlign w:val="center"/>
          </w:tcPr>
          <w:p w14:paraId="2DB4E10A" w14:textId="4688FE8C" w:rsidR="000747C3" w:rsidRPr="00CA69BC" w:rsidRDefault="000747C3" w:rsidP="000747C3">
            <w:pPr>
              <w:jc w:val="center"/>
              <w:rPr>
                <w:sz w:val="20"/>
                <w:szCs w:val="20"/>
              </w:rPr>
            </w:pPr>
            <w:r w:rsidRPr="00CA69BC">
              <w:rPr>
                <w:sz w:val="20"/>
                <w:szCs w:val="20"/>
              </w:rPr>
              <w:t xml:space="preserve">Zoning Bylaw, </w:t>
            </w:r>
            <w:r w:rsidRPr="002D4C22">
              <w:rPr>
                <w:sz w:val="20"/>
                <w:szCs w:val="20"/>
              </w:rPr>
              <w:t>§174-4</w:t>
            </w:r>
          </w:p>
        </w:tc>
      </w:tr>
      <w:tr w:rsidR="000747C3" w:rsidRPr="00CA69BC" w14:paraId="5344BE42" w14:textId="0F2A0E88" w:rsidTr="000747C3">
        <w:trPr>
          <w:trHeight w:val="288"/>
        </w:trPr>
        <w:tc>
          <w:tcPr>
            <w:tcW w:w="2068" w:type="dxa"/>
            <w:vAlign w:val="center"/>
          </w:tcPr>
          <w:p w14:paraId="7767896C" w14:textId="77777777" w:rsidR="000747C3" w:rsidRPr="00CA69BC" w:rsidRDefault="000747C3" w:rsidP="002F772A">
            <w:pPr>
              <w:rPr>
                <w:color w:val="262626" w:themeColor="text1" w:themeTint="D9"/>
                <w:sz w:val="20"/>
                <w:szCs w:val="20"/>
              </w:rPr>
            </w:pPr>
            <w:r w:rsidRPr="00CA69BC">
              <w:rPr>
                <w:color w:val="262626" w:themeColor="text1" w:themeTint="D9"/>
                <w:sz w:val="20"/>
                <w:szCs w:val="20"/>
              </w:rPr>
              <w:t>R5</w:t>
            </w:r>
          </w:p>
        </w:tc>
        <w:tc>
          <w:tcPr>
            <w:tcW w:w="908" w:type="dxa"/>
            <w:vAlign w:val="center"/>
          </w:tcPr>
          <w:p w14:paraId="2E9D5B68" w14:textId="2F80879A" w:rsidR="000747C3" w:rsidRPr="00CA69BC" w:rsidRDefault="000747C3" w:rsidP="007211AE">
            <w:pPr>
              <w:jc w:val="center"/>
              <w:rPr>
                <w:sz w:val="20"/>
                <w:szCs w:val="20"/>
              </w:rPr>
            </w:pPr>
            <w:r w:rsidRPr="00CA69BC">
              <w:rPr>
                <w:sz w:val="20"/>
                <w:szCs w:val="20"/>
              </w:rPr>
              <w:t>497.8</w:t>
            </w:r>
          </w:p>
        </w:tc>
        <w:tc>
          <w:tcPr>
            <w:tcW w:w="1888" w:type="dxa"/>
            <w:vAlign w:val="center"/>
          </w:tcPr>
          <w:p w14:paraId="65C8612C" w14:textId="3F0C8686" w:rsidR="000747C3" w:rsidRPr="00CA69BC" w:rsidRDefault="000747C3" w:rsidP="007211AE">
            <w:pPr>
              <w:jc w:val="center"/>
              <w:rPr>
                <w:sz w:val="20"/>
                <w:szCs w:val="20"/>
              </w:rPr>
            </w:pPr>
            <w:r w:rsidRPr="00CA69BC">
              <w:rPr>
                <w:sz w:val="20"/>
                <w:szCs w:val="20"/>
              </w:rPr>
              <w:t>3.0%</w:t>
            </w:r>
          </w:p>
        </w:tc>
        <w:tc>
          <w:tcPr>
            <w:tcW w:w="2156" w:type="dxa"/>
            <w:vMerge/>
            <w:vAlign w:val="center"/>
          </w:tcPr>
          <w:p w14:paraId="58A5D0CE" w14:textId="77777777" w:rsidR="000747C3" w:rsidRPr="00CA69BC" w:rsidRDefault="000747C3" w:rsidP="007211AE">
            <w:pPr>
              <w:jc w:val="center"/>
              <w:rPr>
                <w:sz w:val="20"/>
                <w:szCs w:val="20"/>
              </w:rPr>
            </w:pPr>
          </w:p>
        </w:tc>
        <w:tc>
          <w:tcPr>
            <w:tcW w:w="2340" w:type="dxa"/>
            <w:vMerge/>
            <w:vAlign w:val="center"/>
          </w:tcPr>
          <w:p w14:paraId="5B7C3F56" w14:textId="408565F9" w:rsidR="000747C3" w:rsidRPr="00CA69BC" w:rsidRDefault="000747C3" w:rsidP="007211AE">
            <w:pPr>
              <w:jc w:val="center"/>
              <w:rPr>
                <w:sz w:val="20"/>
                <w:szCs w:val="20"/>
              </w:rPr>
            </w:pPr>
          </w:p>
        </w:tc>
      </w:tr>
      <w:tr w:rsidR="000747C3" w:rsidRPr="00CA69BC" w14:paraId="0D089913" w14:textId="4896AE78" w:rsidTr="000B60E2">
        <w:trPr>
          <w:trHeight w:val="288"/>
        </w:trPr>
        <w:tc>
          <w:tcPr>
            <w:tcW w:w="9360" w:type="dxa"/>
            <w:gridSpan w:val="5"/>
            <w:shd w:val="clear" w:color="auto" w:fill="F2F2F2" w:themeFill="background1" w:themeFillShade="F2"/>
            <w:vAlign w:val="center"/>
          </w:tcPr>
          <w:p w14:paraId="57AFFE78" w14:textId="2FFDADC6" w:rsidR="000747C3" w:rsidRPr="00CA69BC" w:rsidRDefault="000747C3" w:rsidP="00E376B3">
            <w:pPr>
              <w:rPr>
                <w:sz w:val="20"/>
                <w:szCs w:val="20"/>
              </w:rPr>
            </w:pPr>
            <w:r w:rsidRPr="00CA69BC">
              <w:rPr>
                <w:b/>
                <w:bCs/>
                <w:color w:val="262626" w:themeColor="text1" w:themeTint="D9"/>
                <w:sz w:val="20"/>
                <w:szCs w:val="20"/>
              </w:rPr>
              <w:t>Commercial Districts</w:t>
            </w:r>
          </w:p>
        </w:tc>
      </w:tr>
      <w:tr w:rsidR="000747C3" w:rsidRPr="00CA69BC" w14:paraId="635DC783" w14:textId="15C2295F" w:rsidTr="000747C3">
        <w:trPr>
          <w:trHeight w:val="288"/>
        </w:trPr>
        <w:tc>
          <w:tcPr>
            <w:tcW w:w="2068" w:type="dxa"/>
            <w:vAlign w:val="center"/>
          </w:tcPr>
          <w:p w14:paraId="1DE52AAC" w14:textId="77777777" w:rsidR="000747C3" w:rsidRPr="00CA69BC" w:rsidRDefault="000747C3" w:rsidP="000747C3">
            <w:pPr>
              <w:rPr>
                <w:color w:val="262626" w:themeColor="text1" w:themeTint="D9"/>
                <w:sz w:val="20"/>
                <w:szCs w:val="20"/>
              </w:rPr>
            </w:pPr>
            <w:r w:rsidRPr="00CA69BC">
              <w:rPr>
                <w:color w:val="262626" w:themeColor="text1" w:themeTint="D9"/>
                <w:sz w:val="20"/>
                <w:szCs w:val="20"/>
              </w:rPr>
              <w:t xml:space="preserve">C1 </w:t>
            </w:r>
          </w:p>
        </w:tc>
        <w:tc>
          <w:tcPr>
            <w:tcW w:w="908" w:type="dxa"/>
            <w:vAlign w:val="center"/>
          </w:tcPr>
          <w:p w14:paraId="2EDAA97A" w14:textId="72E74C47" w:rsidR="000747C3" w:rsidRPr="00CA69BC" w:rsidRDefault="000747C3" w:rsidP="000747C3">
            <w:pPr>
              <w:jc w:val="center"/>
              <w:rPr>
                <w:sz w:val="20"/>
                <w:szCs w:val="20"/>
              </w:rPr>
            </w:pPr>
            <w:r w:rsidRPr="00CA69BC">
              <w:rPr>
                <w:sz w:val="20"/>
                <w:szCs w:val="20"/>
              </w:rPr>
              <w:t>250.7</w:t>
            </w:r>
          </w:p>
        </w:tc>
        <w:tc>
          <w:tcPr>
            <w:tcW w:w="1888" w:type="dxa"/>
            <w:vAlign w:val="center"/>
          </w:tcPr>
          <w:p w14:paraId="15A483B7" w14:textId="5E9194A6" w:rsidR="000747C3" w:rsidRPr="00CA69BC" w:rsidRDefault="000747C3" w:rsidP="000747C3">
            <w:pPr>
              <w:jc w:val="center"/>
              <w:rPr>
                <w:sz w:val="20"/>
                <w:szCs w:val="20"/>
              </w:rPr>
            </w:pPr>
            <w:r w:rsidRPr="00CA69BC">
              <w:rPr>
                <w:sz w:val="20"/>
                <w:szCs w:val="20"/>
              </w:rPr>
              <w:t>1.5%</w:t>
            </w:r>
          </w:p>
        </w:tc>
        <w:tc>
          <w:tcPr>
            <w:tcW w:w="2156" w:type="dxa"/>
            <w:vMerge w:val="restart"/>
            <w:vAlign w:val="center"/>
          </w:tcPr>
          <w:p w14:paraId="4A8503F5" w14:textId="21150ABD" w:rsidR="000747C3" w:rsidRPr="00CA69BC" w:rsidRDefault="000747C3" w:rsidP="000747C3">
            <w:pPr>
              <w:jc w:val="center"/>
              <w:rPr>
                <w:sz w:val="20"/>
                <w:szCs w:val="20"/>
              </w:rPr>
            </w:pPr>
            <w:r>
              <w:rPr>
                <w:sz w:val="20"/>
                <w:szCs w:val="20"/>
              </w:rPr>
              <w:t>Town of Mashpee</w:t>
            </w:r>
          </w:p>
        </w:tc>
        <w:tc>
          <w:tcPr>
            <w:tcW w:w="2340" w:type="dxa"/>
            <w:vMerge w:val="restart"/>
            <w:vAlign w:val="center"/>
          </w:tcPr>
          <w:p w14:paraId="54B9EAF1" w14:textId="26B0E583" w:rsidR="000747C3" w:rsidRPr="00CA69BC" w:rsidRDefault="000747C3" w:rsidP="000747C3">
            <w:pPr>
              <w:jc w:val="center"/>
              <w:rPr>
                <w:sz w:val="20"/>
                <w:szCs w:val="20"/>
              </w:rPr>
            </w:pPr>
            <w:r w:rsidRPr="00CA69BC">
              <w:rPr>
                <w:sz w:val="20"/>
                <w:szCs w:val="20"/>
              </w:rPr>
              <w:t xml:space="preserve">Zoning Bylaw, </w:t>
            </w:r>
            <w:r w:rsidRPr="002D4C22">
              <w:rPr>
                <w:sz w:val="20"/>
                <w:szCs w:val="20"/>
              </w:rPr>
              <w:t>§174-4</w:t>
            </w:r>
          </w:p>
        </w:tc>
      </w:tr>
      <w:tr w:rsidR="000747C3" w:rsidRPr="00CA69BC" w14:paraId="3D480425" w14:textId="7B76F9B0" w:rsidTr="000747C3">
        <w:trPr>
          <w:trHeight w:val="288"/>
        </w:trPr>
        <w:tc>
          <w:tcPr>
            <w:tcW w:w="2068" w:type="dxa"/>
            <w:vAlign w:val="center"/>
          </w:tcPr>
          <w:p w14:paraId="1FBBEA19" w14:textId="77777777" w:rsidR="000747C3" w:rsidRPr="00CA69BC" w:rsidRDefault="000747C3" w:rsidP="000747C3">
            <w:pPr>
              <w:rPr>
                <w:color w:val="262626" w:themeColor="text1" w:themeTint="D9"/>
                <w:sz w:val="20"/>
                <w:szCs w:val="20"/>
              </w:rPr>
            </w:pPr>
            <w:r w:rsidRPr="00CA69BC">
              <w:rPr>
                <w:color w:val="262626" w:themeColor="text1" w:themeTint="D9"/>
                <w:sz w:val="20"/>
                <w:szCs w:val="20"/>
              </w:rPr>
              <w:t>C2</w:t>
            </w:r>
          </w:p>
        </w:tc>
        <w:tc>
          <w:tcPr>
            <w:tcW w:w="908" w:type="dxa"/>
            <w:vAlign w:val="center"/>
          </w:tcPr>
          <w:p w14:paraId="1EC17333" w14:textId="232DB156" w:rsidR="000747C3" w:rsidRPr="00CA69BC" w:rsidRDefault="000747C3" w:rsidP="000747C3">
            <w:pPr>
              <w:jc w:val="center"/>
              <w:rPr>
                <w:sz w:val="20"/>
                <w:szCs w:val="20"/>
              </w:rPr>
            </w:pPr>
            <w:r w:rsidRPr="00CA69BC">
              <w:rPr>
                <w:sz w:val="20"/>
                <w:szCs w:val="20"/>
              </w:rPr>
              <w:t>99.9</w:t>
            </w:r>
          </w:p>
        </w:tc>
        <w:tc>
          <w:tcPr>
            <w:tcW w:w="1888" w:type="dxa"/>
            <w:vAlign w:val="center"/>
          </w:tcPr>
          <w:p w14:paraId="7E6D2C43" w14:textId="549F4CE8" w:rsidR="000747C3" w:rsidRPr="00CA69BC" w:rsidRDefault="000747C3" w:rsidP="000747C3">
            <w:pPr>
              <w:jc w:val="center"/>
              <w:rPr>
                <w:sz w:val="20"/>
                <w:szCs w:val="20"/>
              </w:rPr>
            </w:pPr>
            <w:r w:rsidRPr="00CA69BC">
              <w:rPr>
                <w:sz w:val="20"/>
                <w:szCs w:val="20"/>
              </w:rPr>
              <w:t>0.6%</w:t>
            </w:r>
          </w:p>
        </w:tc>
        <w:tc>
          <w:tcPr>
            <w:tcW w:w="2156" w:type="dxa"/>
            <w:vMerge/>
            <w:vAlign w:val="center"/>
          </w:tcPr>
          <w:p w14:paraId="48A26D3F" w14:textId="77777777" w:rsidR="000747C3" w:rsidRPr="00CA69BC" w:rsidRDefault="000747C3" w:rsidP="000747C3">
            <w:pPr>
              <w:jc w:val="center"/>
              <w:rPr>
                <w:sz w:val="20"/>
                <w:szCs w:val="20"/>
              </w:rPr>
            </w:pPr>
          </w:p>
        </w:tc>
        <w:tc>
          <w:tcPr>
            <w:tcW w:w="2340" w:type="dxa"/>
            <w:vMerge/>
            <w:vAlign w:val="center"/>
          </w:tcPr>
          <w:p w14:paraId="1E55C27C" w14:textId="6BF59D5A" w:rsidR="000747C3" w:rsidRPr="00CA69BC" w:rsidRDefault="000747C3" w:rsidP="000747C3">
            <w:pPr>
              <w:jc w:val="center"/>
              <w:rPr>
                <w:sz w:val="20"/>
                <w:szCs w:val="20"/>
              </w:rPr>
            </w:pPr>
          </w:p>
        </w:tc>
      </w:tr>
      <w:tr w:rsidR="000747C3" w:rsidRPr="00CA69BC" w14:paraId="352D71EC" w14:textId="5B12D81A" w:rsidTr="000747C3">
        <w:trPr>
          <w:trHeight w:val="288"/>
        </w:trPr>
        <w:tc>
          <w:tcPr>
            <w:tcW w:w="2068" w:type="dxa"/>
            <w:vAlign w:val="center"/>
          </w:tcPr>
          <w:p w14:paraId="0ED3D862" w14:textId="77777777" w:rsidR="000747C3" w:rsidRPr="00CA69BC" w:rsidRDefault="000747C3" w:rsidP="000747C3">
            <w:pPr>
              <w:rPr>
                <w:color w:val="262626" w:themeColor="text1" w:themeTint="D9"/>
                <w:sz w:val="20"/>
                <w:szCs w:val="20"/>
              </w:rPr>
            </w:pPr>
            <w:r w:rsidRPr="00CA69BC">
              <w:rPr>
                <w:color w:val="262626" w:themeColor="text1" w:themeTint="D9"/>
                <w:sz w:val="20"/>
                <w:szCs w:val="20"/>
              </w:rPr>
              <w:t>C3</w:t>
            </w:r>
          </w:p>
        </w:tc>
        <w:tc>
          <w:tcPr>
            <w:tcW w:w="908" w:type="dxa"/>
            <w:vAlign w:val="center"/>
          </w:tcPr>
          <w:p w14:paraId="3AFF57B8" w14:textId="29E8B425" w:rsidR="000747C3" w:rsidRPr="00CA69BC" w:rsidRDefault="000747C3" w:rsidP="000747C3">
            <w:pPr>
              <w:jc w:val="center"/>
              <w:rPr>
                <w:sz w:val="20"/>
                <w:szCs w:val="20"/>
              </w:rPr>
            </w:pPr>
            <w:r w:rsidRPr="00CA69BC">
              <w:rPr>
                <w:sz w:val="20"/>
                <w:szCs w:val="20"/>
              </w:rPr>
              <w:t>74.49</w:t>
            </w:r>
          </w:p>
        </w:tc>
        <w:tc>
          <w:tcPr>
            <w:tcW w:w="1888" w:type="dxa"/>
            <w:vAlign w:val="center"/>
          </w:tcPr>
          <w:p w14:paraId="70D4F7A5" w14:textId="58774E17" w:rsidR="000747C3" w:rsidRPr="00CA69BC" w:rsidRDefault="000747C3" w:rsidP="000747C3">
            <w:pPr>
              <w:jc w:val="center"/>
              <w:rPr>
                <w:sz w:val="20"/>
                <w:szCs w:val="20"/>
              </w:rPr>
            </w:pPr>
            <w:r w:rsidRPr="00CA69BC">
              <w:rPr>
                <w:sz w:val="20"/>
                <w:szCs w:val="20"/>
              </w:rPr>
              <w:t>0.5%</w:t>
            </w:r>
          </w:p>
        </w:tc>
        <w:tc>
          <w:tcPr>
            <w:tcW w:w="2156" w:type="dxa"/>
            <w:vMerge/>
            <w:vAlign w:val="center"/>
          </w:tcPr>
          <w:p w14:paraId="066C262D" w14:textId="77777777" w:rsidR="000747C3" w:rsidRPr="00CA69BC" w:rsidRDefault="000747C3" w:rsidP="000747C3">
            <w:pPr>
              <w:jc w:val="center"/>
              <w:rPr>
                <w:sz w:val="20"/>
                <w:szCs w:val="20"/>
              </w:rPr>
            </w:pPr>
          </w:p>
        </w:tc>
        <w:tc>
          <w:tcPr>
            <w:tcW w:w="2340" w:type="dxa"/>
            <w:vMerge/>
            <w:vAlign w:val="center"/>
          </w:tcPr>
          <w:p w14:paraId="7CF93B1A" w14:textId="1A45E4ED" w:rsidR="000747C3" w:rsidRPr="00CA69BC" w:rsidRDefault="000747C3" w:rsidP="000747C3">
            <w:pPr>
              <w:jc w:val="center"/>
              <w:rPr>
                <w:sz w:val="20"/>
                <w:szCs w:val="20"/>
              </w:rPr>
            </w:pPr>
          </w:p>
        </w:tc>
      </w:tr>
      <w:tr w:rsidR="000747C3" w:rsidRPr="00CA69BC" w14:paraId="55715748" w14:textId="005D569A" w:rsidTr="001E1B45">
        <w:trPr>
          <w:trHeight w:val="288"/>
        </w:trPr>
        <w:tc>
          <w:tcPr>
            <w:tcW w:w="9360" w:type="dxa"/>
            <w:gridSpan w:val="5"/>
            <w:shd w:val="clear" w:color="auto" w:fill="F2F2F2" w:themeFill="background1" w:themeFillShade="F2"/>
            <w:vAlign w:val="center"/>
          </w:tcPr>
          <w:p w14:paraId="17CFF2B1" w14:textId="15287B44" w:rsidR="000747C3" w:rsidRPr="00CA69BC" w:rsidRDefault="000747C3" w:rsidP="00E376B3">
            <w:pPr>
              <w:rPr>
                <w:sz w:val="20"/>
                <w:szCs w:val="20"/>
              </w:rPr>
            </w:pPr>
            <w:r w:rsidRPr="00CA69BC">
              <w:rPr>
                <w:b/>
                <w:bCs/>
                <w:color w:val="262626" w:themeColor="text1" w:themeTint="D9"/>
                <w:sz w:val="20"/>
                <w:szCs w:val="20"/>
              </w:rPr>
              <w:t>Industrial Districts</w:t>
            </w:r>
          </w:p>
        </w:tc>
      </w:tr>
      <w:tr w:rsidR="000747C3" w:rsidRPr="00CA69BC" w14:paraId="2C18ECA4" w14:textId="1F9E323E" w:rsidTr="000747C3">
        <w:trPr>
          <w:trHeight w:val="288"/>
        </w:trPr>
        <w:tc>
          <w:tcPr>
            <w:tcW w:w="2068" w:type="dxa"/>
            <w:vAlign w:val="center"/>
          </w:tcPr>
          <w:p w14:paraId="782E4237" w14:textId="77777777" w:rsidR="000747C3" w:rsidRPr="00CA69BC" w:rsidRDefault="000747C3" w:rsidP="000747C3">
            <w:pPr>
              <w:rPr>
                <w:color w:val="262626" w:themeColor="text1" w:themeTint="D9"/>
                <w:sz w:val="20"/>
                <w:szCs w:val="20"/>
              </w:rPr>
            </w:pPr>
            <w:r w:rsidRPr="00CA69BC">
              <w:rPr>
                <w:color w:val="262626" w:themeColor="text1" w:themeTint="D9"/>
                <w:sz w:val="20"/>
                <w:szCs w:val="20"/>
              </w:rPr>
              <w:t>I1</w:t>
            </w:r>
          </w:p>
        </w:tc>
        <w:tc>
          <w:tcPr>
            <w:tcW w:w="908" w:type="dxa"/>
            <w:vAlign w:val="center"/>
          </w:tcPr>
          <w:p w14:paraId="57BB0F76" w14:textId="0AD6CC05" w:rsidR="000747C3" w:rsidRPr="00CA69BC" w:rsidRDefault="000747C3" w:rsidP="000747C3">
            <w:pPr>
              <w:jc w:val="center"/>
              <w:rPr>
                <w:sz w:val="20"/>
                <w:szCs w:val="20"/>
              </w:rPr>
            </w:pPr>
            <w:r w:rsidRPr="00CA69BC">
              <w:rPr>
                <w:sz w:val="20"/>
                <w:szCs w:val="20"/>
              </w:rPr>
              <w:t>1273.35</w:t>
            </w:r>
          </w:p>
        </w:tc>
        <w:tc>
          <w:tcPr>
            <w:tcW w:w="1888" w:type="dxa"/>
            <w:vAlign w:val="center"/>
          </w:tcPr>
          <w:p w14:paraId="3E4D072C" w14:textId="5B2161DD" w:rsidR="000747C3" w:rsidRPr="00CA69BC" w:rsidRDefault="000747C3" w:rsidP="000747C3">
            <w:pPr>
              <w:jc w:val="center"/>
              <w:rPr>
                <w:sz w:val="20"/>
                <w:szCs w:val="20"/>
              </w:rPr>
            </w:pPr>
            <w:r w:rsidRPr="00CA69BC">
              <w:rPr>
                <w:sz w:val="20"/>
                <w:szCs w:val="20"/>
              </w:rPr>
              <w:t>7.8%</w:t>
            </w:r>
          </w:p>
        </w:tc>
        <w:tc>
          <w:tcPr>
            <w:tcW w:w="2156" w:type="dxa"/>
            <w:vAlign w:val="center"/>
          </w:tcPr>
          <w:p w14:paraId="0C1C8EB5" w14:textId="72365308" w:rsidR="000747C3" w:rsidRPr="00CA69BC" w:rsidRDefault="000747C3" w:rsidP="000747C3">
            <w:pPr>
              <w:jc w:val="center"/>
              <w:rPr>
                <w:sz w:val="20"/>
                <w:szCs w:val="20"/>
              </w:rPr>
            </w:pPr>
            <w:r w:rsidRPr="00CA69BC">
              <w:rPr>
                <w:sz w:val="20"/>
                <w:szCs w:val="20"/>
              </w:rPr>
              <w:t>Town of Mashpee</w:t>
            </w:r>
          </w:p>
        </w:tc>
        <w:tc>
          <w:tcPr>
            <w:tcW w:w="2340" w:type="dxa"/>
            <w:vAlign w:val="center"/>
          </w:tcPr>
          <w:p w14:paraId="12FA3060" w14:textId="41343986" w:rsidR="000747C3" w:rsidRPr="00CA69BC" w:rsidRDefault="000747C3" w:rsidP="000747C3">
            <w:pPr>
              <w:jc w:val="center"/>
              <w:rPr>
                <w:sz w:val="20"/>
                <w:szCs w:val="20"/>
              </w:rPr>
            </w:pPr>
            <w:r w:rsidRPr="00CA69BC">
              <w:rPr>
                <w:sz w:val="20"/>
                <w:szCs w:val="20"/>
              </w:rPr>
              <w:t xml:space="preserve">Zoning Bylaw, </w:t>
            </w:r>
            <w:r w:rsidRPr="002D4C22">
              <w:rPr>
                <w:sz w:val="20"/>
                <w:szCs w:val="20"/>
              </w:rPr>
              <w:t>§174-4</w:t>
            </w:r>
          </w:p>
        </w:tc>
      </w:tr>
      <w:tr w:rsidR="000747C3" w:rsidRPr="00CA69BC" w14:paraId="1707A184" w14:textId="77777777" w:rsidTr="00A33671">
        <w:trPr>
          <w:trHeight w:val="288"/>
        </w:trPr>
        <w:tc>
          <w:tcPr>
            <w:tcW w:w="9360" w:type="dxa"/>
            <w:gridSpan w:val="5"/>
            <w:shd w:val="clear" w:color="auto" w:fill="F2F2F2" w:themeFill="background1" w:themeFillShade="F2"/>
            <w:vAlign w:val="center"/>
          </w:tcPr>
          <w:p w14:paraId="5362F96D" w14:textId="17F8711F" w:rsidR="000747C3" w:rsidRPr="00CA69BC" w:rsidRDefault="000747C3" w:rsidP="00E376B3">
            <w:pPr>
              <w:rPr>
                <w:sz w:val="20"/>
                <w:szCs w:val="20"/>
              </w:rPr>
            </w:pPr>
            <w:r>
              <w:rPr>
                <w:b/>
                <w:bCs/>
                <w:color w:val="262626" w:themeColor="text1" w:themeTint="D9"/>
                <w:sz w:val="20"/>
                <w:szCs w:val="20"/>
              </w:rPr>
              <w:t>Other</w:t>
            </w:r>
            <w:r w:rsidRPr="00CA69BC">
              <w:rPr>
                <w:b/>
                <w:bCs/>
                <w:color w:val="262626" w:themeColor="text1" w:themeTint="D9"/>
                <w:sz w:val="20"/>
                <w:szCs w:val="20"/>
              </w:rPr>
              <w:t xml:space="preserve"> Districts</w:t>
            </w:r>
          </w:p>
        </w:tc>
      </w:tr>
      <w:tr w:rsidR="000747C3" w:rsidRPr="00CA69BC" w14:paraId="5E4A848D" w14:textId="231E933E" w:rsidTr="00E376B3">
        <w:trPr>
          <w:trHeight w:val="288"/>
        </w:trPr>
        <w:tc>
          <w:tcPr>
            <w:tcW w:w="2068" w:type="dxa"/>
            <w:vAlign w:val="center"/>
          </w:tcPr>
          <w:p w14:paraId="533B1842" w14:textId="44CF4CFF" w:rsidR="000747C3" w:rsidRPr="00E376B3" w:rsidRDefault="000747C3" w:rsidP="000747C3">
            <w:pPr>
              <w:rPr>
                <w:sz w:val="20"/>
                <w:szCs w:val="20"/>
              </w:rPr>
            </w:pPr>
            <w:r w:rsidRPr="00E376B3">
              <w:rPr>
                <w:sz w:val="20"/>
                <w:szCs w:val="20"/>
              </w:rPr>
              <w:t>Groundwater Protection District</w:t>
            </w:r>
          </w:p>
        </w:tc>
        <w:tc>
          <w:tcPr>
            <w:tcW w:w="908" w:type="dxa"/>
            <w:vAlign w:val="center"/>
          </w:tcPr>
          <w:p w14:paraId="35B457ED" w14:textId="391E241E" w:rsidR="000747C3" w:rsidRPr="00CA69BC" w:rsidRDefault="000747C3" w:rsidP="000747C3">
            <w:pPr>
              <w:jc w:val="center"/>
              <w:rPr>
                <w:sz w:val="20"/>
                <w:szCs w:val="20"/>
              </w:rPr>
            </w:pPr>
            <w:r w:rsidRPr="00CA69BC">
              <w:rPr>
                <w:sz w:val="20"/>
                <w:szCs w:val="20"/>
              </w:rPr>
              <w:t>5571.64</w:t>
            </w:r>
          </w:p>
        </w:tc>
        <w:tc>
          <w:tcPr>
            <w:tcW w:w="1888" w:type="dxa"/>
            <w:vAlign w:val="center"/>
          </w:tcPr>
          <w:p w14:paraId="629DE441" w14:textId="68695923" w:rsidR="000747C3" w:rsidRPr="00CA69BC" w:rsidRDefault="000747C3" w:rsidP="000747C3">
            <w:pPr>
              <w:jc w:val="center"/>
              <w:rPr>
                <w:sz w:val="20"/>
                <w:szCs w:val="20"/>
              </w:rPr>
            </w:pPr>
            <w:r w:rsidRPr="00CA69BC">
              <w:rPr>
                <w:sz w:val="20"/>
                <w:szCs w:val="20"/>
              </w:rPr>
              <w:t>34.0%</w:t>
            </w:r>
          </w:p>
        </w:tc>
        <w:tc>
          <w:tcPr>
            <w:tcW w:w="2156" w:type="dxa"/>
            <w:vAlign w:val="center"/>
          </w:tcPr>
          <w:p w14:paraId="6AED106E" w14:textId="4D0DAB75" w:rsidR="000747C3" w:rsidRPr="00CA69BC" w:rsidRDefault="000747C3" w:rsidP="000747C3">
            <w:pPr>
              <w:jc w:val="center"/>
              <w:rPr>
                <w:sz w:val="20"/>
                <w:szCs w:val="20"/>
              </w:rPr>
            </w:pPr>
            <w:r w:rsidRPr="00CA69BC">
              <w:rPr>
                <w:sz w:val="20"/>
                <w:szCs w:val="20"/>
              </w:rPr>
              <w:t>Commonwealth of Massachusetts, Town of Mashpee</w:t>
            </w:r>
          </w:p>
        </w:tc>
        <w:tc>
          <w:tcPr>
            <w:tcW w:w="2340" w:type="dxa"/>
            <w:vAlign w:val="center"/>
          </w:tcPr>
          <w:p w14:paraId="4783CEA2" w14:textId="77777777" w:rsidR="000747C3" w:rsidRPr="00CA69BC" w:rsidRDefault="000747C3" w:rsidP="000747C3">
            <w:pPr>
              <w:jc w:val="center"/>
              <w:rPr>
                <w:sz w:val="20"/>
                <w:szCs w:val="20"/>
              </w:rPr>
            </w:pPr>
            <w:r w:rsidRPr="00CA69BC">
              <w:rPr>
                <w:sz w:val="20"/>
                <w:szCs w:val="20"/>
              </w:rPr>
              <w:t>Massachusetts General Laws, Chapter 41A</w:t>
            </w:r>
          </w:p>
          <w:p w14:paraId="269AE516" w14:textId="77777777" w:rsidR="000747C3" w:rsidRPr="00CA69BC" w:rsidRDefault="000747C3" w:rsidP="000747C3">
            <w:pPr>
              <w:jc w:val="center"/>
              <w:rPr>
                <w:b/>
                <w:bCs/>
                <w:sz w:val="20"/>
                <w:szCs w:val="20"/>
              </w:rPr>
            </w:pPr>
          </w:p>
          <w:p w14:paraId="6703661F" w14:textId="1F53345E" w:rsidR="000747C3" w:rsidRPr="00CA69BC" w:rsidRDefault="000747C3" w:rsidP="000747C3">
            <w:pPr>
              <w:jc w:val="center"/>
              <w:rPr>
                <w:sz w:val="20"/>
                <w:szCs w:val="20"/>
              </w:rPr>
            </w:pPr>
            <w:r w:rsidRPr="00CA69BC">
              <w:rPr>
                <w:sz w:val="20"/>
                <w:szCs w:val="20"/>
              </w:rPr>
              <w:t xml:space="preserve">Zoning Bylaw, </w:t>
            </w:r>
            <w:r w:rsidRPr="00E376B3">
              <w:rPr>
                <w:sz w:val="20"/>
                <w:szCs w:val="20"/>
              </w:rPr>
              <w:t>§174-79</w:t>
            </w:r>
          </w:p>
        </w:tc>
      </w:tr>
      <w:tr w:rsidR="000747C3" w:rsidRPr="00CA69BC" w14:paraId="09D42D0E" w14:textId="0871A0BC" w:rsidTr="00E376B3">
        <w:trPr>
          <w:trHeight w:val="288"/>
        </w:trPr>
        <w:tc>
          <w:tcPr>
            <w:tcW w:w="2068" w:type="dxa"/>
            <w:vAlign w:val="center"/>
          </w:tcPr>
          <w:p w14:paraId="6BCC077C" w14:textId="77777777" w:rsidR="000747C3" w:rsidRPr="00E376B3" w:rsidRDefault="000747C3" w:rsidP="000747C3">
            <w:pPr>
              <w:rPr>
                <w:sz w:val="20"/>
                <w:szCs w:val="20"/>
              </w:rPr>
            </w:pPr>
            <w:proofErr w:type="spellStart"/>
            <w:r w:rsidRPr="00E376B3">
              <w:rPr>
                <w:sz w:val="20"/>
                <w:szCs w:val="20"/>
              </w:rPr>
              <w:t>Popponesset</w:t>
            </w:r>
            <w:proofErr w:type="spellEnd"/>
            <w:r w:rsidRPr="00E376B3">
              <w:rPr>
                <w:sz w:val="20"/>
                <w:szCs w:val="20"/>
              </w:rPr>
              <w:t xml:space="preserve"> Overlay District</w:t>
            </w:r>
          </w:p>
        </w:tc>
        <w:tc>
          <w:tcPr>
            <w:tcW w:w="908" w:type="dxa"/>
            <w:vAlign w:val="center"/>
          </w:tcPr>
          <w:p w14:paraId="230CE8CB" w14:textId="77B62C7C" w:rsidR="000747C3" w:rsidRPr="00CA69BC" w:rsidRDefault="000747C3" w:rsidP="000747C3">
            <w:pPr>
              <w:jc w:val="center"/>
              <w:rPr>
                <w:sz w:val="20"/>
                <w:szCs w:val="20"/>
              </w:rPr>
            </w:pPr>
            <w:r w:rsidRPr="00CA69BC">
              <w:rPr>
                <w:sz w:val="20"/>
                <w:szCs w:val="20"/>
              </w:rPr>
              <w:t>164.68</w:t>
            </w:r>
          </w:p>
        </w:tc>
        <w:tc>
          <w:tcPr>
            <w:tcW w:w="1888" w:type="dxa"/>
            <w:vAlign w:val="center"/>
          </w:tcPr>
          <w:p w14:paraId="414B8904" w14:textId="3D56100C" w:rsidR="000747C3" w:rsidRPr="00CA69BC" w:rsidRDefault="000747C3" w:rsidP="000747C3">
            <w:pPr>
              <w:jc w:val="center"/>
              <w:rPr>
                <w:sz w:val="20"/>
                <w:szCs w:val="20"/>
              </w:rPr>
            </w:pPr>
            <w:r w:rsidRPr="00CA69BC">
              <w:rPr>
                <w:sz w:val="20"/>
                <w:szCs w:val="20"/>
              </w:rPr>
              <w:t>1.0%</w:t>
            </w:r>
          </w:p>
        </w:tc>
        <w:tc>
          <w:tcPr>
            <w:tcW w:w="2156" w:type="dxa"/>
            <w:vAlign w:val="center"/>
          </w:tcPr>
          <w:p w14:paraId="3DAFBE2E" w14:textId="2077737C" w:rsidR="000747C3" w:rsidRPr="00CA69BC" w:rsidRDefault="000747C3" w:rsidP="000747C3">
            <w:pPr>
              <w:jc w:val="center"/>
              <w:rPr>
                <w:sz w:val="20"/>
                <w:szCs w:val="20"/>
              </w:rPr>
            </w:pPr>
            <w:r w:rsidRPr="00CA69BC">
              <w:rPr>
                <w:sz w:val="20"/>
                <w:szCs w:val="20"/>
              </w:rPr>
              <w:t>Town of Mashpee</w:t>
            </w:r>
          </w:p>
        </w:tc>
        <w:tc>
          <w:tcPr>
            <w:tcW w:w="2340" w:type="dxa"/>
            <w:vAlign w:val="center"/>
          </w:tcPr>
          <w:p w14:paraId="0A300E3D" w14:textId="250873D9" w:rsidR="000747C3" w:rsidRPr="00CA69BC" w:rsidRDefault="000747C3" w:rsidP="000747C3">
            <w:pPr>
              <w:jc w:val="center"/>
              <w:rPr>
                <w:sz w:val="20"/>
                <w:szCs w:val="20"/>
              </w:rPr>
            </w:pPr>
            <w:r w:rsidRPr="00CA69BC">
              <w:rPr>
                <w:sz w:val="20"/>
                <w:szCs w:val="20"/>
              </w:rPr>
              <w:t xml:space="preserve">Zoning Bylaw, </w:t>
            </w:r>
            <w:r w:rsidRPr="00E376B3">
              <w:rPr>
                <w:sz w:val="20"/>
                <w:szCs w:val="20"/>
              </w:rPr>
              <w:t>§174-4</w:t>
            </w:r>
          </w:p>
        </w:tc>
      </w:tr>
      <w:tr w:rsidR="000747C3" w:rsidRPr="00CA69BC" w14:paraId="3239F279" w14:textId="709EE7A4" w:rsidTr="00E376B3">
        <w:trPr>
          <w:trHeight w:val="288"/>
        </w:trPr>
        <w:tc>
          <w:tcPr>
            <w:tcW w:w="2068" w:type="dxa"/>
            <w:vAlign w:val="center"/>
          </w:tcPr>
          <w:p w14:paraId="2BD13A52" w14:textId="77777777" w:rsidR="000747C3" w:rsidRPr="00E376B3" w:rsidRDefault="000747C3" w:rsidP="000747C3">
            <w:pPr>
              <w:rPr>
                <w:sz w:val="20"/>
                <w:szCs w:val="20"/>
              </w:rPr>
            </w:pPr>
            <w:r w:rsidRPr="00E376B3">
              <w:rPr>
                <w:sz w:val="20"/>
                <w:szCs w:val="20"/>
              </w:rPr>
              <w:t>Wireless Facility Overlay District</w:t>
            </w:r>
          </w:p>
        </w:tc>
        <w:tc>
          <w:tcPr>
            <w:tcW w:w="908" w:type="dxa"/>
            <w:vAlign w:val="center"/>
          </w:tcPr>
          <w:p w14:paraId="4E66EEA6" w14:textId="76B0904E" w:rsidR="000747C3" w:rsidRPr="00CA69BC" w:rsidRDefault="000747C3" w:rsidP="000747C3">
            <w:pPr>
              <w:jc w:val="center"/>
              <w:rPr>
                <w:sz w:val="20"/>
                <w:szCs w:val="20"/>
              </w:rPr>
            </w:pPr>
            <w:r w:rsidRPr="00CA69BC">
              <w:rPr>
                <w:sz w:val="20"/>
                <w:szCs w:val="20"/>
              </w:rPr>
              <w:t>608.50</w:t>
            </w:r>
          </w:p>
        </w:tc>
        <w:tc>
          <w:tcPr>
            <w:tcW w:w="1888" w:type="dxa"/>
            <w:vAlign w:val="center"/>
          </w:tcPr>
          <w:p w14:paraId="5DDE3F94" w14:textId="2327A039" w:rsidR="000747C3" w:rsidRPr="00CA69BC" w:rsidRDefault="000747C3" w:rsidP="000747C3">
            <w:pPr>
              <w:jc w:val="center"/>
              <w:rPr>
                <w:sz w:val="20"/>
                <w:szCs w:val="20"/>
              </w:rPr>
            </w:pPr>
            <w:r w:rsidRPr="00CA69BC">
              <w:rPr>
                <w:sz w:val="20"/>
                <w:szCs w:val="20"/>
              </w:rPr>
              <w:t>3.7%</w:t>
            </w:r>
          </w:p>
        </w:tc>
        <w:tc>
          <w:tcPr>
            <w:tcW w:w="2156" w:type="dxa"/>
            <w:vAlign w:val="center"/>
          </w:tcPr>
          <w:p w14:paraId="4CB36A33" w14:textId="21961691" w:rsidR="000747C3" w:rsidRPr="00CA69BC" w:rsidRDefault="000747C3" w:rsidP="000747C3">
            <w:pPr>
              <w:jc w:val="center"/>
              <w:rPr>
                <w:sz w:val="20"/>
                <w:szCs w:val="20"/>
              </w:rPr>
            </w:pPr>
            <w:r w:rsidRPr="00CA69BC">
              <w:rPr>
                <w:sz w:val="20"/>
                <w:szCs w:val="20"/>
              </w:rPr>
              <w:t>Town of Mashpee</w:t>
            </w:r>
          </w:p>
        </w:tc>
        <w:tc>
          <w:tcPr>
            <w:tcW w:w="2340" w:type="dxa"/>
            <w:vAlign w:val="center"/>
          </w:tcPr>
          <w:p w14:paraId="1B29623C" w14:textId="52878CA7" w:rsidR="000747C3" w:rsidRPr="00CA69BC" w:rsidRDefault="000747C3" w:rsidP="000747C3">
            <w:pPr>
              <w:jc w:val="center"/>
              <w:rPr>
                <w:sz w:val="20"/>
                <w:szCs w:val="20"/>
              </w:rPr>
            </w:pPr>
            <w:r w:rsidRPr="00CA69BC">
              <w:rPr>
                <w:sz w:val="20"/>
                <w:szCs w:val="20"/>
              </w:rPr>
              <w:t xml:space="preserve">Zoning Bylaw, </w:t>
            </w:r>
            <w:r w:rsidRPr="00E376B3">
              <w:rPr>
                <w:sz w:val="20"/>
                <w:szCs w:val="20"/>
              </w:rPr>
              <w:t>§174-4</w:t>
            </w:r>
          </w:p>
        </w:tc>
      </w:tr>
      <w:tr w:rsidR="000747C3" w:rsidRPr="00CA69BC" w14:paraId="441C3F75" w14:textId="1DAA61C1" w:rsidTr="00E376B3">
        <w:trPr>
          <w:trHeight w:val="288"/>
        </w:trPr>
        <w:tc>
          <w:tcPr>
            <w:tcW w:w="2068" w:type="dxa"/>
            <w:vAlign w:val="center"/>
          </w:tcPr>
          <w:p w14:paraId="7417E066" w14:textId="77777777" w:rsidR="000747C3" w:rsidRPr="00E376B3" w:rsidRDefault="000747C3" w:rsidP="000747C3">
            <w:pPr>
              <w:rPr>
                <w:sz w:val="20"/>
                <w:szCs w:val="20"/>
              </w:rPr>
            </w:pPr>
            <w:r w:rsidRPr="00E376B3">
              <w:rPr>
                <w:sz w:val="20"/>
                <w:szCs w:val="20"/>
              </w:rPr>
              <w:t>Mashpee Center Overlay District</w:t>
            </w:r>
          </w:p>
        </w:tc>
        <w:tc>
          <w:tcPr>
            <w:tcW w:w="908" w:type="dxa"/>
            <w:vAlign w:val="center"/>
          </w:tcPr>
          <w:p w14:paraId="0CA5CE12" w14:textId="14F744D1" w:rsidR="000747C3" w:rsidRPr="00CA69BC" w:rsidRDefault="000747C3" w:rsidP="000747C3">
            <w:pPr>
              <w:jc w:val="center"/>
              <w:rPr>
                <w:sz w:val="20"/>
                <w:szCs w:val="20"/>
              </w:rPr>
            </w:pPr>
            <w:r w:rsidRPr="00CA69BC">
              <w:rPr>
                <w:sz w:val="20"/>
                <w:szCs w:val="20"/>
              </w:rPr>
              <w:t>62.65</w:t>
            </w:r>
          </w:p>
        </w:tc>
        <w:tc>
          <w:tcPr>
            <w:tcW w:w="1888" w:type="dxa"/>
            <w:vAlign w:val="center"/>
          </w:tcPr>
          <w:p w14:paraId="4FDF49BA" w14:textId="1E8D854F" w:rsidR="000747C3" w:rsidRPr="00CA69BC" w:rsidRDefault="000747C3" w:rsidP="000747C3">
            <w:pPr>
              <w:jc w:val="center"/>
              <w:rPr>
                <w:sz w:val="20"/>
                <w:szCs w:val="20"/>
              </w:rPr>
            </w:pPr>
            <w:r w:rsidRPr="00CA69BC">
              <w:rPr>
                <w:sz w:val="20"/>
                <w:szCs w:val="20"/>
              </w:rPr>
              <w:t>0.4%</w:t>
            </w:r>
          </w:p>
        </w:tc>
        <w:tc>
          <w:tcPr>
            <w:tcW w:w="2156" w:type="dxa"/>
            <w:vAlign w:val="center"/>
          </w:tcPr>
          <w:p w14:paraId="422FB300" w14:textId="15EC8D33" w:rsidR="000747C3" w:rsidRPr="00CA69BC" w:rsidRDefault="000747C3" w:rsidP="000747C3">
            <w:pPr>
              <w:jc w:val="center"/>
              <w:rPr>
                <w:sz w:val="20"/>
                <w:szCs w:val="20"/>
              </w:rPr>
            </w:pPr>
            <w:r w:rsidRPr="00CA69BC">
              <w:rPr>
                <w:sz w:val="20"/>
                <w:szCs w:val="20"/>
              </w:rPr>
              <w:t>Town of Mashpee</w:t>
            </w:r>
          </w:p>
        </w:tc>
        <w:tc>
          <w:tcPr>
            <w:tcW w:w="2340" w:type="dxa"/>
            <w:vAlign w:val="center"/>
          </w:tcPr>
          <w:p w14:paraId="2C74E74E" w14:textId="15EE8A94" w:rsidR="000747C3" w:rsidRPr="00CA69BC" w:rsidRDefault="000747C3" w:rsidP="000747C3">
            <w:pPr>
              <w:jc w:val="center"/>
              <w:rPr>
                <w:sz w:val="20"/>
                <w:szCs w:val="20"/>
              </w:rPr>
            </w:pPr>
            <w:r w:rsidRPr="00CA69BC">
              <w:rPr>
                <w:sz w:val="20"/>
                <w:szCs w:val="20"/>
              </w:rPr>
              <w:t xml:space="preserve">Zoning Bylaw, </w:t>
            </w:r>
            <w:r w:rsidRPr="00E376B3">
              <w:rPr>
                <w:sz w:val="20"/>
                <w:szCs w:val="20"/>
              </w:rPr>
              <w:t>§174-4</w:t>
            </w:r>
          </w:p>
        </w:tc>
      </w:tr>
      <w:tr w:rsidR="000747C3" w:rsidRPr="00CA69BC" w14:paraId="52104FD0" w14:textId="1BDA6C09" w:rsidTr="00E376B3">
        <w:trPr>
          <w:trHeight w:val="288"/>
        </w:trPr>
        <w:tc>
          <w:tcPr>
            <w:tcW w:w="2068" w:type="dxa"/>
            <w:vAlign w:val="center"/>
          </w:tcPr>
          <w:p w14:paraId="38019A7F" w14:textId="4EA0D254" w:rsidR="000747C3" w:rsidRPr="00E376B3" w:rsidRDefault="000747C3" w:rsidP="000747C3">
            <w:pPr>
              <w:rPr>
                <w:rStyle w:val="Emphasis"/>
                <w:i w:val="0"/>
                <w:iCs w:val="0"/>
                <w:sz w:val="20"/>
                <w:szCs w:val="20"/>
                <w:shd w:val="clear" w:color="auto" w:fill="FFFFFF"/>
              </w:rPr>
            </w:pPr>
            <w:r w:rsidRPr="00E376B3">
              <w:rPr>
                <w:rStyle w:val="Emphasis"/>
                <w:i w:val="0"/>
                <w:iCs w:val="0"/>
                <w:sz w:val="20"/>
                <w:szCs w:val="20"/>
                <w:shd w:val="clear" w:color="auto" w:fill="FFFFFF"/>
              </w:rPr>
              <w:t>Light Industrial Overlay District</w:t>
            </w:r>
          </w:p>
        </w:tc>
        <w:tc>
          <w:tcPr>
            <w:tcW w:w="908" w:type="dxa"/>
            <w:vAlign w:val="center"/>
          </w:tcPr>
          <w:p w14:paraId="3B9A581A" w14:textId="42027829" w:rsidR="000747C3" w:rsidRPr="00CA69BC" w:rsidRDefault="000747C3" w:rsidP="000747C3">
            <w:pPr>
              <w:jc w:val="center"/>
              <w:rPr>
                <w:sz w:val="20"/>
                <w:szCs w:val="20"/>
              </w:rPr>
            </w:pPr>
            <w:r w:rsidRPr="00CA69BC">
              <w:rPr>
                <w:sz w:val="20"/>
                <w:szCs w:val="20"/>
              </w:rPr>
              <w:t>1347.84</w:t>
            </w:r>
          </w:p>
        </w:tc>
        <w:tc>
          <w:tcPr>
            <w:tcW w:w="1888" w:type="dxa"/>
            <w:vAlign w:val="center"/>
          </w:tcPr>
          <w:p w14:paraId="2B32AC7F" w14:textId="15B603BF" w:rsidR="000747C3" w:rsidRPr="00CA69BC" w:rsidRDefault="000747C3" w:rsidP="000747C3">
            <w:pPr>
              <w:jc w:val="center"/>
              <w:rPr>
                <w:sz w:val="20"/>
                <w:szCs w:val="20"/>
              </w:rPr>
            </w:pPr>
            <w:r w:rsidRPr="00CA69BC">
              <w:rPr>
                <w:sz w:val="20"/>
                <w:szCs w:val="20"/>
              </w:rPr>
              <w:t>8.2%</w:t>
            </w:r>
          </w:p>
        </w:tc>
        <w:tc>
          <w:tcPr>
            <w:tcW w:w="2156" w:type="dxa"/>
            <w:vAlign w:val="center"/>
          </w:tcPr>
          <w:p w14:paraId="10E51E16" w14:textId="2EF18CCF" w:rsidR="000747C3" w:rsidRPr="00CA69BC" w:rsidRDefault="000747C3" w:rsidP="000747C3">
            <w:pPr>
              <w:jc w:val="center"/>
              <w:rPr>
                <w:sz w:val="20"/>
                <w:szCs w:val="20"/>
              </w:rPr>
            </w:pPr>
            <w:r w:rsidRPr="00CA69BC">
              <w:rPr>
                <w:sz w:val="20"/>
                <w:szCs w:val="20"/>
              </w:rPr>
              <w:t>Town of Mashpee</w:t>
            </w:r>
          </w:p>
        </w:tc>
        <w:tc>
          <w:tcPr>
            <w:tcW w:w="2340" w:type="dxa"/>
            <w:vAlign w:val="center"/>
          </w:tcPr>
          <w:p w14:paraId="256F60CD" w14:textId="11EED685" w:rsidR="000747C3" w:rsidRPr="00CA69BC" w:rsidRDefault="000747C3" w:rsidP="000747C3">
            <w:pPr>
              <w:jc w:val="center"/>
              <w:rPr>
                <w:sz w:val="20"/>
                <w:szCs w:val="20"/>
              </w:rPr>
            </w:pPr>
            <w:r w:rsidRPr="00CA69BC">
              <w:rPr>
                <w:sz w:val="20"/>
                <w:szCs w:val="20"/>
              </w:rPr>
              <w:t xml:space="preserve">Zoning Bylaw, </w:t>
            </w:r>
            <w:r w:rsidRPr="00E376B3">
              <w:rPr>
                <w:sz w:val="20"/>
                <w:szCs w:val="20"/>
              </w:rPr>
              <w:t>§174-4</w:t>
            </w:r>
          </w:p>
        </w:tc>
      </w:tr>
      <w:tr w:rsidR="000747C3" w:rsidRPr="00CA69BC" w14:paraId="32182724" w14:textId="0E4C706C" w:rsidTr="00E376B3">
        <w:trPr>
          <w:trHeight w:val="288"/>
        </w:trPr>
        <w:tc>
          <w:tcPr>
            <w:tcW w:w="2068" w:type="dxa"/>
            <w:vAlign w:val="center"/>
          </w:tcPr>
          <w:p w14:paraId="036EA2BC" w14:textId="034A8954" w:rsidR="000747C3" w:rsidRPr="00E376B3" w:rsidRDefault="000747C3" w:rsidP="000747C3">
            <w:pPr>
              <w:rPr>
                <w:sz w:val="20"/>
                <w:szCs w:val="20"/>
              </w:rPr>
            </w:pPr>
            <w:r w:rsidRPr="00E376B3">
              <w:rPr>
                <w:rStyle w:val="Emphasis"/>
                <w:i w:val="0"/>
                <w:iCs w:val="0"/>
                <w:sz w:val="20"/>
                <w:szCs w:val="20"/>
                <w:shd w:val="clear" w:color="auto" w:fill="FFFFFF"/>
              </w:rPr>
              <w:t>Mashpee</w:t>
            </w:r>
            <w:r w:rsidRPr="00E376B3">
              <w:rPr>
                <w:sz w:val="20"/>
                <w:szCs w:val="20"/>
                <w:shd w:val="clear" w:color="auto" w:fill="FFFFFF"/>
              </w:rPr>
              <w:t> Flood Insurance Rate Map</w:t>
            </w:r>
          </w:p>
        </w:tc>
        <w:tc>
          <w:tcPr>
            <w:tcW w:w="908" w:type="dxa"/>
            <w:vAlign w:val="center"/>
          </w:tcPr>
          <w:p w14:paraId="44A0B49D" w14:textId="73B66F13" w:rsidR="000747C3" w:rsidRPr="00CA69BC" w:rsidRDefault="000747C3" w:rsidP="000747C3">
            <w:pPr>
              <w:jc w:val="center"/>
              <w:rPr>
                <w:sz w:val="20"/>
                <w:szCs w:val="20"/>
              </w:rPr>
            </w:pPr>
            <w:r w:rsidRPr="00CA69BC">
              <w:rPr>
                <w:sz w:val="20"/>
                <w:szCs w:val="20"/>
              </w:rPr>
              <w:t>3862.38</w:t>
            </w:r>
          </w:p>
        </w:tc>
        <w:tc>
          <w:tcPr>
            <w:tcW w:w="1888" w:type="dxa"/>
            <w:vAlign w:val="center"/>
          </w:tcPr>
          <w:p w14:paraId="643DCE17" w14:textId="1E8EB501" w:rsidR="000747C3" w:rsidRPr="00CA69BC" w:rsidRDefault="000747C3" w:rsidP="000747C3">
            <w:pPr>
              <w:jc w:val="center"/>
              <w:rPr>
                <w:sz w:val="20"/>
                <w:szCs w:val="20"/>
              </w:rPr>
            </w:pPr>
            <w:r w:rsidRPr="00CA69BC">
              <w:rPr>
                <w:sz w:val="20"/>
                <w:szCs w:val="20"/>
              </w:rPr>
              <w:t>23.6%</w:t>
            </w:r>
          </w:p>
        </w:tc>
        <w:tc>
          <w:tcPr>
            <w:tcW w:w="2156" w:type="dxa"/>
            <w:vAlign w:val="center"/>
          </w:tcPr>
          <w:p w14:paraId="4FBEF7BC" w14:textId="78998B43" w:rsidR="000747C3" w:rsidRPr="00CA69BC" w:rsidRDefault="000747C3" w:rsidP="000747C3">
            <w:pPr>
              <w:jc w:val="center"/>
              <w:rPr>
                <w:sz w:val="20"/>
                <w:szCs w:val="20"/>
              </w:rPr>
            </w:pPr>
            <w:r w:rsidRPr="00CA69BC">
              <w:rPr>
                <w:sz w:val="20"/>
                <w:szCs w:val="20"/>
              </w:rPr>
              <w:t>Federal Emergency Management Agency (FEMA)</w:t>
            </w:r>
          </w:p>
        </w:tc>
        <w:tc>
          <w:tcPr>
            <w:tcW w:w="2340" w:type="dxa"/>
            <w:vAlign w:val="center"/>
          </w:tcPr>
          <w:p w14:paraId="25819915" w14:textId="35807C22" w:rsidR="000747C3" w:rsidRPr="00CA69BC" w:rsidRDefault="000747C3" w:rsidP="000747C3">
            <w:pPr>
              <w:jc w:val="center"/>
              <w:rPr>
                <w:sz w:val="20"/>
                <w:szCs w:val="20"/>
              </w:rPr>
            </w:pPr>
            <w:r w:rsidRPr="00CA69BC">
              <w:rPr>
                <w:sz w:val="20"/>
                <w:szCs w:val="20"/>
              </w:rPr>
              <w:t xml:space="preserve">Zoning Bylaw, </w:t>
            </w:r>
            <w:r w:rsidRPr="00E376B3">
              <w:rPr>
                <w:sz w:val="20"/>
                <w:szCs w:val="20"/>
              </w:rPr>
              <w:t>§174-4</w:t>
            </w:r>
          </w:p>
        </w:tc>
      </w:tr>
      <w:tr w:rsidR="000747C3" w:rsidRPr="00CA69BC" w14:paraId="12833087" w14:textId="77DA76CB" w:rsidTr="00E376B3">
        <w:trPr>
          <w:trHeight w:val="288"/>
        </w:trPr>
        <w:tc>
          <w:tcPr>
            <w:tcW w:w="2068" w:type="dxa"/>
            <w:vAlign w:val="center"/>
          </w:tcPr>
          <w:p w14:paraId="3724CA0D" w14:textId="2B172679" w:rsidR="000747C3" w:rsidRPr="00E376B3" w:rsidRDefault="000747C3" w:rsidP="000747C3">
            <w:pPr>
              <w:rPr>
                <w:rStyle w:val="Emphasis"/>
                <w:i w:val="0"/>
                <w:iCs w:val="0"/>
                <w:sz w:val="20"/>
                <w:szCs w:val="20"/>
                <w:shd w:val="clear" w:color="auto" w:fill="FFFFFF"/>
              </w:rPr>
            </w:pPr>
            <w:r w:rsidRPr="00E376B3">
              <w:rPr>
                <w:rStyle w:val="Emphasis"/>
                <w:i w:val="0"/>
                <w:iCs w:val="0"/>
                <w:sz w:val="20"/>
                <w:szCs w:val="20"/>
                <w:shd w:val="clear" w:color="auto" w:fill="FFFFFF"/>
              </w:rPr>
              <w:t>Areas of Environmental Concern</w:t>
            </w:r>
          </w:p>
        </w:tc>
        <w:tc>
          <w:tcPr>
            <w:tcW w:w="908" w:type="dxa"/>
            <w:vAlign w:val="center"/>
          </w:tcPr>
          <w:p w14:paraId="4AD252E0" w14:textId="2649ED59" w:rsidR="000747C3" w:rsidRPr="00CA69BC" w:rsidRDefault="000747C3" w:rsidP="000747C3">
            <w:pPr>
              <w:jc w:val="center"/>
              <w:rPr>
                <w:sz w:val="20"/>
                <w:szCs w:val="20"/>
              </w:rPr>
            </w:pPr>
            <w:r w:rsidRPr="00CA69BC">
              <w:rPr>
                <w:sz w:val="20"/>
                <w:szCs w:val="20"/>
              </w:rPr>
              <w:t>881.37</w:t>
            </w:r>
          </w:p>
        </w:tc>
        <w:tc>
          <w:tcPr>
            <w:tcW w:w="1888" w:type="dxa"/>
            <w:vAlign w:val="center"/>
          </w:tcPr>
          <w:p w14:paraId="01C2354B" w14:textId="2A95E51D" w:rsidR="000747C3" w:rsidRPr="00CA69BC" w:rsidRDefault="000747C3" w:rsidP="000747C3">
            <w:pPr>
              <w:jc w:val="center"/>
              <w:rPr>
                <w:sz w:val="20"/>
                <w:szCs w:val="20"/>
              </w:rPr>
            </w:pPr>
            <w:r w:rsidRPr="00CA69BC">
              <w:rPr>
                <w:sz w:val="20"/>
                <w:szCs w:val="20"/>
              </w:rPr>
              <w:t>5.4%</w:t>
            </w:r>
          </w:p>
        </w:tc>
        <w:tc>
          <w:tcPr>
            <w:tcW w:w="2156" w:type="dxa"/>
            <w:vAlign w:val="center"/>
          </w:tcPr>
          <w:p w14:paraId="7521EB1D" w14:textId="47C49931" w:rsidR="000747C3" w:rsidRPr="00CA69BC" w:rsidRDefault="000747C3" w:rsidP="000747C3">
            <w:pPr>
              <w:jc w:val="center"/>
              <w:rPr>
                <w:sz w:val="20"/>
                <w:szCs w:val="20"/>
              </w:rPr>
            </w:pPr>
            <w:r w:rsidRPr="00CA69BC">
              <w:rPr>
                <w:sz w:val="20"/>
                <w:szCs w:val="20"/>
              </w:rPr>
              <w:t>Secretary of Energy and Environmental Affairs (EEA)</w:t>
            </w:r>
          </w:p>
        </w:tc>
        <w:tc>
          <w:tcPr>
            <w:tcW w:w="2340" w:type="dxa"/>
            <w:vAlign w:val="center"/>
          </w:tcPr>
          <w:p w14:paraId="130C447B" w14:textId="5C35C3DE" w:rsidR="000747C3" w:rsidRPr="00CA69BC" w:rsidRDefault="000747C3" w:rsidP="000747C3">
            <w:pPr>
              <w:jc w:val="center"/>
              <w:rPr>
                <w:sz w:val="20"/>
                <w:szCs w:val="20"/>
              </w:rPr>
            </w:pPr>
            <w:r w:rsidRPr="00CA69BC">
              <w:rPr>
                <w:sz w:val="20"/>
                <w:szCs w:val="20"/>
              </w:rPr>
              <w:t xml:space="preserve">Massachusetts General Laws, Chapter 131, </w:t>
            </w:r>
            <w:r w:rsidRPr="00E376B3">
              <w:rPr>
                <w:sz w:val="20"/>
                <w:szCs w:val="20"/>
              </w:rPr>
              <w:t>§</w:t>
            </w:r>
            <w:r w:rsidRPr="00CA69BC">
              <w:rPr>
                <w:sz w:val="20"/>
                <w:szCs w:val="20"/>
              </w:rPr>
              <w:t>40 and 40A</w:t>
            </w:r>
          </w:p>
        </w:tc>
      </w:tr>
      <w:tr w:rsidR="000747C3" w:rsidRPr="00CA69BC" w14:paraId="334C80E7" w14:textId="58ABEA8A" w:rsidTr="00E376B3">
        <w:trPr>
          <w:trHeight w:val="288"/>
        </w:trPr>
        <w:tc>
          <w:tcPr>
            <w:tcW w:w="2068" w:type="dxa"/>
            <w:vAlign w:val="center"/>
          </w:tcPr>
          <w:p w14:paraId="0ABB5202" w14:textId="77777777" w:rsidR="000747C3" w:rsidRPr="00E376B3" w:rsidRDefault="000747C3" w:rsidP="000747C3">
            <w:pPr>
              <w:rPr>
                <w:sz w:val="20"/>
                <w:szCs w:val="20"/>
              </w:rPr>
            </w:pPr>
            <w:r w:rsidRPr="00E376B3">
              <w:rPr>
                <w:sz w:val="20"/>
                <w:szCs w:val="20"/>
              </w:rPr>
              <w:t xml:space="preserve">Historic District </w:t>
            </w:r>
          </w:p>
        </w:tc>
        <w:tc>
          <w:tcPr>
            <w:tcW w:w="908" w:type="dxa"/>
            <w:vAlign w:val="center"/>
          </w:tcPr>
          <w:p w14:paraId="4633DE7D" w14:textId="48D2C72C" w:rsidR="000747C3" w:rsidRPr="00CA69BC" w:rsidRDefault="000747C3" w:rsidP="000747C3">
            <w:pPr>
              <w:jc w:val="center"/>
              <w:rPr>
                <w:sz w:val="20"/>
                <w:szCs w:val="20"/>
              </w:rPr>
            </w:pPr>
            <w:r w:rsidRPr="00CA69BC">
              <w:rPr>
                <w:sz w:val="20"/>
                <w:szCs w:val="20"/>
              </w:rPr>
              <w:t>91.29</w:t>
            </w:r>
          </w:p>
        </w:tc>
        <w:tc>
          <w:tcPr>
            <w:tcW w:w="1888" w:type="dxa"/>
            <w:vAlign w:val="center"/>
          </w:tcPr>
          <w:p w14:paraId="4EEB4896" w14:textId="16DDFA4E" w:rsidR="000747C3" w:rsidRPr="00CA69BC" w:rsidRDefault="000747C3" w:rsidP="000747C3">
            <w:pPr>
              <w:jc w:val="center"/>
              <w:rPr>
                <w:sz w:val="20"/>
                <w:szCs w:val="20"/>
              </w:rPr>
            </w:pPr>
            <w:r w:rsidRPr="00CA69BC">
              <w:rPr>
                <w:sz w:val="20"/>
                <w:szCs w:val="20"/>
              </w:rPr>
              <w:t>0.6%</w:t>
            </w:r>
          </w:p>
        </w:tc>
        <w:tc>
          <w:tcPr>
            <w:tcW w:w="2156" w:type="dxa"/>
            <w:vAlign w:val="center"/>
          </w:tcPr>
          <w:p w14:paraId="57E93EF6" w14:textId="7B9C0508" w:rsidR="000747C3" w:rsidRPr="00CA69BC" w:rsidRDefault="000747C3" w:rsidP="000747C3">
            <w:pPr>
              <w:jc w:val="center"/>
              <w:rPr>
                <w:sz w:val="20"/>
                <w:szCs w:val="20"/>
              </w:rPr>
            </w:pPr>
            <w:r w:rsidRPr="00CA69BC">
              <w:rPr>
                <w:sz w:val="20"/>
                <w:szCs w:val="20"/>
              </w:rPr>
              <w:t>Mashpee Historic District Commission</w:t>
            </w:r>
          </w:p>
        </w:tc>
        <w:tc>
          <w:tcPr>
            <w:tcW w:w="2340" w:type="dxa"/>
            <w:vAlign w:val="center"/>
          </w:tcPr>
          <w:p w14:paraId="56519164" w14:textId="2B79FCC4" w:rsidR="000747C3" w:rsidRPr="00CA69BC" w:rsidRDefault="000747C3" w:rsidP="000747C3">
            <w:pPr>
              <w:jc w:val="center"/>
              <w:rPr>
                <w:sz w:val="20"/>
                <w:szCs w:val="20"/>
              </w:rPr>
            </w:pPr>
            <w:r w:rsidRPr="00CA69BC">
              <w:rPr>
                <w:sz w:val="20"/>
                <w:szCs w:val="20"/>
              </w:rPr>
              <w:t xml:space="preserve">Mashpee General Bylaw, </w:t>
            </w:r>
            <w:r w:rsidRPr="00E376B3">
              <w:rPr>
                <w:sz w:val="20"/>
                <w:szCs w:val="20"/>
              </w:rPr>
              <w:t>§</w:t>
            </w:r>
            <w:r w:rsidRPr="00CA69BC">
              <w:rPr>
                <w:sz w:val="20"/>
                <w:szCs w:val="20"/>
              </w:rPr>
              <w:t>110-1</w:t>
            </w:r>
          </w:p>
        </w:tc>
      </w:tr>
      <w:tr w:rsidR="000747C3" w:rsidRPr="00CA69BC" w14:paraId="2D369696" w14:textId="27F56C43" w:rsidTr="00E376B3">
        <w:trPr>
          <w:trHeight w:val="288"/>
        </w:trPr>
        <w:tc>
          <w:tcPr>
            <w:tcW w:w="2068" w:type="dxa"/>
            <w:vAlign w:val="center"/>
          </w:tcPr>
          <w:p w14:paraId="6680029F" w14:textId="3C7FE6FC" w:rsidR="000747C3" w:rsidRPr="00E376B3" w:rsidRDefault="000747C3" w:rsidP="000747C3">
            <w:pPr>
              <w:rPr>
                <w:sz w:val="20"/>
                <w:szCs w:val="20"/>
              </w:rPr>
            </w:pPr>
            <w:r w:rsidRPr="00E376B3">
              <w:rPr>
                <w:sz w:val="20"/>
                <w:szCs w:val="20"/>
              </w:rPr>
              <w:t>Marijuana Exclusion Zone</w:t>
            </w:r>
          </w:p>
        </w:tc>
        <w:tc>
          <w:tcPr>
            <w:tcW w:w="908" w:type="dxa"/>
            <w:vAlign w:val="center"/>
          </w:tcPr>
          <w:p w14:paraId="68B7D036" w14:textId="4A139557" w:rsidR="000747C3" w:rsidRPr="00CA69BC" w:rsidRDefault="000747C3" w:rsidP="000747C3">
            <w:pPr>
              <w:jc w:val="center"/>
              <w:rPr>
                <w:b/>
                <w:bCs/>
                <w:sz w:val="20"/>
                <w:szCs w:val="20"/>
              </w:rPr>
            </w:pPr>
            <w:r w:rsidRPr="00CA69BC">
              <w:rPr>
                <w:sz w:val="20"/>
                <w:szCs w:val="20"/>
              </w:rPr>
              <w:t>436.13</w:t>
            </w:r>
          </w:p>
        </w:tc>
        <w:tc>
          <w:tcPr>
            <w:tcW w:w="1888" w:type="dxa"/>
            <w:vAlign w:val="center"/>
          </w:tcPr>
          <w:p w14:paraId="6EBB9456" w14:textId="330DA558" w:rsidR="000747C3" w:rsidRPr="00CA69BC" w:rsidRDefault="000747C3" w:rsidP="000747C3">
            <w:pPr>
              <w:jc w:val="center"/>
              <w:rPr>
                <w:sz w:val="20"/>
                <w:szCs w:val="20"/>
              </w:rPr>
            </w:pPr>
            <w:r w:rsidRPr="00CA69BC">
              <w:rPr>
                <w:sz w:val="20"/>
                <w:szCs w:val="20"/>
              </w:rPr>
              <w:t>2.7%</w:t>
            </w:r>
          </w:p>
        </w:tc>
        <w:tc>
          <w:tcPr>
            <w:tcW w:w="2156" w:type="dxa"/>
            <w:vAlign w:val="center"/>
          </w:tcPr>
          <w:p w14:paraId="7BFF81D3" w14:textId="7D928DCA" w:rsidR="000747C3" w:rsidRPr="00CA69BC" w:rsidRDefault="000747C3" w:rsidP="000747C3">
            <w:pPr>
              <w:jc w:val="center"/>
              <w:rPr>
                <w:sz w:val="20"/>
                <w:szCs w:val="20"/>
              </w:rPr>
            </w:pPr>
            <w:r w:rsidRPr="00CA69BC">
              <w:rPr>
                <w:sz w:val="20"/>
                <w:szCs w:val="20"/>
              </w:rPr>
              <w:t>Commonwealth of Massachusetts</w:t>
            </w:r>
          </w:p>
        </w:tc>
        <w:tc>
          <w:tcPr>
            <w:tcW w:w="2340" w:type="dxa"/>
            <w:vAlign w:val="center"/>
          </w:tcPr>
          <w:p w14:paraId="0D4720DB" w14:textId="6DD9A401" w:rsidR="000747C3" w:rsidRPr="00CA69BC" w:rsidRDefault="000747C3" w:rsidP="000747C3">
            <w:pPr>
              <w:jc w:val="center"/>
              <w:rPr>
                <w:sz w:val="20"/>
                <w:szCs w:val="20"/>
              </w:rPr>
            </w:pPr>
            <w:r w:rsidRPr="00CA69BC">
              <w:rPr>
                <w:sz w:val="20"/>
                <w:szCs w:val="20"/>
              </w:rPr>
              <w:t xml:space="preserve">Massachusetts General Laws, Chapter 94G </w:t>
            </w:r>
            <w:r w:rsidRPr="00E376B3">
              <w:rPr>
                <w:sz w:val="20"/>
                <w:szCs w:val="20"/>
              </w:rPr>
              <w:t>§ 3(a)(2)(ii)</w:t>
            </w:r>
          </w:p>
        </w:tc>
      </w:tr>
      <w:tr w:rsidR="000747C3" w:rsidRPr="00CA69BC" w14:paraId="72BA84D1" w14:textId="7CC43537" w:rsidTr="00E376B3">
        <w:trPr>
          <w:trHeight w:val="288"/>
        </w:trPr>
        <w:tc>
          <w:tcPr>
            <w:tcW w:w="2068" w:type="dxa"/>
            <w:vAlign w:val="center"/>
          </w:tcPr>
          <w:p w14:paraId="06AA097A" w14:textId="50CD424A" w:rsidR="000747C3" w:rsidRPr="00E376B3" w:rsidRDefault="000747C3" w:rsidP="000747C3">
            <w:pPr>
              <w:rPr>
                <w:sz w:val="20"/>
                <w:szCs w:val="20"/>
              </w:rPr>
            </w:pPr>
            <w:r w:rsidRPr="00E376B3">
              <w:rPr>
                <w:sz w:val="20"/>
                <w:szCs w:val="20"/>
              </w:rPr>
              <w:t>Seabury Special Permit Zones</w:t>
            </w:r>
          </w:p>
        </w:tc>
        <w:tc>
          <w:tcPr>
            <w:tcW w:w="908" w:type="dxa"/>
            <w:vAlign w:val="center"/>
          </w:tcPr>
          <w:p w14:paraId="085934DB" w14:textId="1769DAA1" w:rsidR="000747C3" w:rsidRPr="00CA69BC" w:rsidRDefault="000747C3" w:rsidP="000747C3">
            <w:pPr>
              <w:jc w:val="center"/>
              <w:rPr>
                <w:sz w:val="20"/>
                <w:szCs w:val="20"/>
              </w:rPr>
            </w:pPr>
            <w:r w:rsidRPr="00CA69BC">
              <w:rPr>
                <w:sz w:val="20"/>
                <w:szCs w:val="20"/>
              </w:rPr>
              <w:t>1014.00</w:t>
            </w:r>
          </w:p>
        </w:tc>
        <w:tc>
          <w:tcPr>
            <w:tcW w:w="1888" w:type="dxa"/>
            <w:vAlign w:val="center"/>
          </w:tcPr>
          <w:p w14:paraId="614D6F7A" w14:textId="2B830204" w:rsidR="000747C3" w:rsidRPr="00CA69BC" w:rsidRDefault="000747C3" w:rsidP="000747C3">
            <w:pPr>
              <w:jc w:val="center"/>
              <w:rPr>
                <w:sz w:val="20"/>
                <w:szCs w:val="20"/>
              </w:rPr>
            </w:pPr>
            <w:r w:rsidRPr="00CA69BC">
              <w:rPr>
                <w:sz w:val="20"/>
                <w:szCs w:val="20"/>
              </w:rPr>
              <w:t>6.2%</w:t>
            </w:r>
          </w:p>
        </w:tc>
        <w:tc>
          <w:tcPr>
            <w:tcW w:w="2156" w:type="dxa"/>
            <w:vAlign w:val="center"/>
          </w:tcPr>
          <w:p w14:paraId="54FE45C2" w14:textId="7A56895F" w:rsidR="000747C3" w:rsidRPr="00CA69BC" w:rsidRDefault="000747C3" w:rsidP="000747C3">
            <w:pPr>
              <w:jc w:val="center"/>
              <w:rPr>
                <w:sz w:val="20"/>
                <w:szCs w:val="20"/>
              </w:rPr>
            </w:pPr>
            <w:r w:rsidRPr="00CA69BC">
              <w:rPr>
                <w:sz w:val="20"/>
                <w:szCs w:val="20"/>
              </w:rPr>
              <w:t>Town of Mashpee</w:t>
            </w:r>
          </w:p>
        </w:tc>
        <w:tc>
          <w:tcPr>
            <w:tcW w:w="2340" w:type="dxa"/>
          </w:tcPr>
          <w:p w14:paraId="0E3A8003" w14:textId="1424708B" w:rsidR="000747C3" w:rsidRPr="00CA69BC" w:rsidRDefault="000747C3" w:rsidP="00E376B3">
            <w:pPr>
              <w:rPr>
                <w:sz w:val="20"/>
                <w:szCs w:val="20"/>
              </w:rPr>
            </w:pPr>
          </w:p>
        </w:tc>
      </w:tr>
    </w:tbl>
    <w:p w14:paraId="7B6B05F7" w14:textId="0A21EA40" w:rsidR="00530F00" w:rsidRPr="00E376B3" w:rsidRDefault="00530F00" w:rsidP="00530F00">
      <w:pPr>
        <w:pStyle w:val="NoSpacing"/>
        <w:rPr>
          <w:i/>
          <w:iCs/>
          <w:sz w:val="20"/>
          <w:szCs w:val="20"/>
        </w:rPr>
      </w:pPr>
      <w:r w:rsidRPr="00E376B3">
        <w:rPr>
          <w:i/>
          <w:iCs/>
          <w:sz w:val="20"/>
          <w:szCs w:val="20"/>
        </w:rPr>
        <w:t>Source: Mashpee GIS</w:t>
      </w:r>
      <w:r w:rsidR="000747C3" w:rsidRPr="00E376B3">
        <w:rPr>
          <w:i/>
          <w:iCs/>
          <w:sz w:val="20"/>
          <w:szCs w:val="20"/>
        </w:rPr>
        <w:t>, 2020</w:t>
      </w:r>
    </w:p>
    <w:p w14:paraId="06A4F412" w14:textId="20F598C2" w:rsidR="001B62F8" w:rsidRDefault="00994E97" w:rsidP="001B62F8">
      <w:pPr>
        <w:spacing w:after="0"/>
        <w:jc w:val="both"/>
        <w:rPr>
          <w:b/>
          <w:bCs/>
          <w:color w:val="4472C4"/>
        </w:rPr>
      </w:pPr>
      <w:commentRangeStart w:id="5"/>
      <w:r>
        <w:rPr>
          <w:b/>
          <w:bCs/>
          <w:color w:val="4472C4"/>
        </w:rPr>
        <w:t>Rules and Regulations Governing the Subdivision of Land</w:t>
      </w:r>
    </w:p>
    <w:p w14:paraId="0AA12C88" w14:textId="1121B863" w:rsidR="00994E97" w:rsidRDefault="00994E97" w:rsidP="00994E97">
      <w:pPr>
        <w:spacing w:after="0"/>
        <w:jc w:val="both"/>
        <w:rPr>
          <w:b/>
          <w:bCs/>
        </w:rPr>
      </w:pPr>
      <w:r w:rsidRPr="00E376B3">
        <w:t xml:space="preserve">The Mashpee Planning Board adopted an updated version of the Rules and Regulations Governing the Subdivision </w:t>
      </w:r>
      <w:r w:rsidR="00FE05E7">
        <w:t xml:space="preserve">(Rules and Regulations) </w:t>
      </w:r>
      <w:r w:rsidRPr="00E376B3">
        <w:t xml:space="preserve">of Land in 2017. This document details the </w:t>
      </w:r>
      <w:r>
        <w:t>Town</w:t>
      </w:r>
      <w:r w:rsidRPr="00E376B3">
        <w:t>’s regulations for designing and constructing subdivisions, in accordance with the Massachusetts Subdivision Control Law (Massachusetts General Laws Chapter 41, Sections 81K – 81GG).</w:t>
      </w:r>
    </w:p>
    <w:p w14:paraId="20F81F23" w14:textId="77777777" w:rsidR="00994E97" w:rsidRDefault="00994E97" w:rsidP="00994E97">
      <w:pPr>
        <w:spacing w:after="0"/>
        <w:jc w:val="both"/>
        <w:rPr>
          <w:b/>
          <w:bCs/>
        </w:rPr>
      </w:pPr>
    </w:p>
    <w:p w14:paraId="14DEDC28" w14:textId="09190C43" w:rsidR="00994E97" w:rsidRPr="00E376B3" w:rsidRDefault="00994E97" w:rsidP="00FE05E7">
      <w:pPr>
        <w:spacing w:after="0"/>
        <w:jc w:val="both"/>
        <w:rPr>
          <w:b/>
          <w:bCs/>
        </w:rPr>
      </w:pPr>
      <w:r w:rsidRPr="00E376B3">
        <w:rPr>
          <w:b/>
          <w:bCs/>
        </w:rPr>
        <w:t>Subdivisions</w:t>
      </w:r>
    </w:p>
    <w:p w14:paraId="44B0A62D" w14:textId="06A56FB4" w:rsidR="00994E97" w:rsidRDefault="00994E97" w:rsidP="00994E97">
      <w:pPr>
        <w:jc w:val="both"/>
      </w:pPr>
      <w:r w:rsidRPr="00E376B3">
        <w:t xml:space="preserve">The Planning Board approves all “subdivisions,” as defined in Section III of the Rules and Regulations. Section 174-67.1, under Article XI of the Zoning Bylaw, regulates subdivisions as pertaining to floodplain zone provisions: all subdivision proposals shall be designed to ensure that </w:t>
      </w:r>
      <w:r w:rsidRPr="00E376B3">
        <w:lastRenderedPageBreak/>
        <w:t xml:space="preserve">public utilities and facilities are located and constructed to minimize or eliminate flood damage; and adequate drainage is provided to reduce exposure to flood hazards.  </w:t>
      </w:r>
    </w:p>
    <w:p w14:paraId="733581AA" w14:textId="66BC46B3" w:rsidR="00994E97" w:rsidRDefault="00994E97" w:rsidP="00FE05E7">
      <w:pPr>
        <w:spacing w:after="0"/>
        <w:rPr>
          <w:b/>
          <w:bCs/>
        </w:rPr>
      </w:pPr>
      <w:r w:rsidRPr="00994E97">
        <w:rPr>
          <w:b/>
          <w:bCs/>
        </w:rPr>
        <w:t>Development Standards</w:t>
      </w:r>
    </w:p>
    <w:p w14:paraId="4C027211" w14:textId="7E59359F" w:rsidR="00994E97" w:rsidRPr="00ED6235" w:rsidRDefault="00FE05E7" w:rsidP="00ED6235">
      <w:r w:rsidRPr="00FE05E7">
        <w:t xml:space="preserve">The Town’s Rules and Regulations employ a variety of different types of requirements and standards for development. These include road </w:t>
      </w:r>
      <w:r>
        <w:t xml:space="preserve">design and </w:t>
      </w:r>
      <w:r w:rsidRPr="00FE05E7">
        <w:t xml:space="preserve">construction standards, lot design standards, landscaping requirements, </w:t>
      </w:r>
      <w:r w:rsidR="00ED6235">
        <w:t>and other items associated with the design and construction of land development.</w:t>
      </w:r>
      <w:commentRangeEnd w:id="5"/>
      <w:r w:rsidR="00ED6235">
        <w:rPr>
          <w:rStyle w:val="CommentReference"/>
        </w:rPr>
        <w:commentReference w:id="5"/>
      </w:r>
    </w:p>
    <w:p w14:paraId="6AED7C4F" w14:textId="31D4CE7D" w:rsidR="007E018C" w:rsidRDefault="0050677D" w:rsidP="0050677D">
      <w:pPr>
        <w:pStyle w:val="Heading"/>
        <w:rPr>
          <w:rFonts w:eastAsia="Times New Roman" w:cs="Arial"/>
          <w:i/>
          <w:szCs w:val="20"/>
        </w:rPr>
      </w:pPr>
      <w:r>
        <w:t xml:space="preserve">Challenges </w:t>
      </w:r>
      <w:r w:rsidR="006649CF">
        <w:t>&amp;</w:t>
      </w:r>
      <w:r>
        <w:t xml:space="preserve"> Opportunities </w:t>
      </w:r>
    </w:p>
    <w:p w14:paraId="60C09784" w14:textId="593760CC" w:rsidR="0050677D" w:rsidRDefault="0050677D" w:rsidP="00E376B3">
      <w:pPr>
        <w:pStyle w:val="Heading3"/>
      </w:pPr>
      <w:r>
        <w:t>Challenges</w:t>
      </w:r>
    </w:p>
    <w:p w14:paraId="3A44E7CE" w14:textId="4BCAC366" w:rsidR="003032B1" w:rsidRPr="008C092F" w:rsidRDefault="003032B1" w:rsidP="00E376B3">
      <w:pPr>
        <w:spacing w:after="0"/>
      </w:pPr>
      <w:r w:rsidRPr="008C092F">
        <w:t>Single-use commercial centers</w:t>
      </w:r>
      <w:r>
        <w:t xml:space="preserve"> </w:t>
      </w:r>
      <w:r w:rsidR="00E05E5C">
        <w:t>have</w:t>
      </w:r>
      <w:r>
        <w:t xml:space="preserve"> limit</w:t>
      </w:r>
      <w:r w:rsidR="00E05E5C">
        <w:t>ed</w:t>
      </w:r>
      <w:r>
        <w:t xml:space="preserve"> </w:t>
      </w:r>
      <w:r w:rsidR="00E05E5C">
        <w:t>Mashpee’s</w:t>
      </w:r>
      <w:r>
        <w:t xml:space="preserve"> </w:t>
      </w:r>
      <w:r w:rsidR="00E05E5C">
        <w:t xml:space="preserve">growth </w:t>
      </w:r>
      <w:r>
        <w:t xml:space="preserve">potential </w:t>
      </w:r>
      <w:r w:rsidR="00E05E5C">
        <w:t>in recent years</w:t>
      </w:r>
      <w:r>
        <w:t>. Mixed-use zoning is not widespread throughout Mashpee</w:t>
      </w:r>
      <w:r w:rsidR="00E05E5C">
        <w:t xml:space="preserve">, which reduces </w:t>
      </w:r>
      <w:r>
        <w:t xml:space="preserve">cohesion </w:t>
      </w:r>
      <w:r w:rsidR="00E05E5C">
        <w:t xml:space="preserve">between different land uses </w:t>
      </w:r>
      <w:r>
        <w:t xml:space="preserve">within the Town. Additional zoning concerns, such as the current restrictive ADU bylaw, </w:t>
      </w:r>
      <w:r w:rsidR="00E05E5C">
        <w:t>make</w:t>
      </w:r>
      <w:r>
        <w:t xml:space="preserve"> it difficult for Mashpee</w:t>
      </w:r>
      <w:r w:rsidR="004406C8">
        <w:t xml:space="preserve"> to capitalize on underutilized land.</w:t>
      </w:r>
    </w:p>
    <w:p w14:paraId="458D6EC7" w14:textId="1439142C" w:rsidR="003032B1" w:rsidRPr="004406C8" w:rsidRDefault="003032B1" w:rsidP="00E376B3">
      <w:pPr>
        <w:pStyle w:val="Heading3"/>
      </w:pPr>
      <w:r w:rsidRPr="000747C3">
        <w:t>Opportunities</w:t>
      </w:r>
    </w:p>
    <w:p w14:paraId="64BD6A16" w14:textId="1B191C3E" w:rsidR="004406C8" w:rsidRDefault="00E05E5C" w:rsidP="000747C3">
      <w:r>
        <w:t xml:space="preserve">Residents have a strong desire to convert existing single-use areas to mixed-use development to </w:t>
      </w:r>
      <w:r w:rsidR="009E0A2F">
        <w:t>facilitate a stronger connection between residential and commercial areas while protecting open space and natural resources</w:t>
      </w:r>
      <w:r>
        <w:t xml:space="preserve"> throughout the Town</w:t>
      </w:r>
      <w:r w:rsidR="009E0A2F">
        <w:t xml:space="preserve">. </w:t>
      </w:r>
      <w:r w:rsidR="00A17FCE">
        <w:t xml:space="preserve">Amending </w:t>
      </w:r>
      <w:r>
        <w:t xml:space="preserve">the </w:t>
      </w:r>
      <w:r w:rsidR="009E0A2F">
        <w:t xml:space="preserve">zoning ordinance </w:t>
      </w:r>
      <w:r w:rsidR="00EB7F5E">
        <w:t>to</w:t>
      </w:r>
      <w:r w:rsidR="009E0A2F">
        <w:t xml:space="preserve"> encourage a wider array</w:t>
      </w:r>
      <w:r>
        <w:t xml:space="preserve"> of land use options</w:t>
      </w:r>
      <w:r w:rsidR="00A17FCE">
        <w:t xml:space="preserve"> would promote economic development and modernize Mashpee’s land use policies.</w:t>
      </w:r>
    </w:p>
    <w:p w14:paraId="33C6E4ED" w14:textId="52878381" w:rsidR="007E018C" w:rsidRPr="004406C8" w:rsidRDefault="007E018C" w:rsidP="00E376B3">
      <w:pPr>
        <w:pStyle w:val="Heading3"/>
      </w:pPr>
      <w:r w:rsidRPr="004406C8">
        <w:t>Current Measures</w:t>
      </w:r>
    </w:p>
    <w:p w14:paraId="75F0F9A4" w14:textId="2D4FB447" w:rsidR="006649CF" w:rsidRDefault="006649CF" w:rsidP="00ED6235">
      <w:pPr>
        <w:jc w:val="both"/>
        <w:rPr>
          <w:rFonts w:ascii="Calibri" w:hAnsi="Calibri"/>
          <w:color w:val="000000"/>
          <w:sz w:val="24"/>
          <w:szCs w:val="24"/>
        </w:rPr>
      </w:pPr>
      <w:r>
        <w:rPr>
          <w:rStyle w:val="contentpasted0"/>
          <w:color w:val="242424"/>
          <w:shd w:val="clear" w:color="auto" w:fill="FFFFFF"/>
        </w:rPr>
        <w:t>Mashpee is effectively at build out under current zoning with very little growth possible in the areas where growth is most sustainable. The Town is working toward shifting its development priorities away from a sprawling development pattern to encourage development and redeployment in areas that are more suitable based on their location, transportation amenities, connectivity to services, and access to infrastructure. To achieve its goals, the Town is re-evaluating its maximum build out population in consideration of the community's needs today while ensuring continued and enhanced protection of open spaces and the Town's natural resources. This will require zoning changes and continuing acquisition of lands for open space purchases.</w:t>
      </w:r>
    </w:p>
    <w:bookmarkEnd w:id="0"/>
    <w:p w14:paraId="5D3A2CE3" w14:textId="2AEF3B16" w:rsidR="0062793F" w:rsidRPr="000367DB" w:rsidRDefault="0062793F" w:rsidP="0062793F">
      <w:pPr>
        <w:keepNext/>
        <w:numPr>
          <w:ilvl w:val="1"/>
          <w:numId w:val="3"/>
        </w:numPr>
        <w:spacing w:before="240" w:after="60" w:line="240" w:lineRule="auto"/>
        <w:jc w:val="both"/>
        <w:outlineLvl w:val="1"/>
        <w:rPr>
          <w:rFonts w:eastAsia="Times New Roman" w:cs="Arial"/>
          <w:b/>
        </w:rPr>
      </w:pPr>
      <w:r>
        <w:rPr>
          <w:rFonts w:eastAsia="Times New Roman" w:cs="Arial"/>
          <w:b/>
        </w:rPr>
        <w:t>Goals &amp; Policies</w:t>
      </w:r>
    </w:p>
    <w:p w14:paraId="7B96A831" w14:textId="77777777" w:rsidR="00420554" w:rsidRDefault="00420554" w:rsidP="00E376B3">
      <w:pPr>
        <w:pStyle w:val="NoSpacing"/>
        <w:rPr>
          <w:i/>
          <w:iCs/>
        </w:rPr>
      </w:pPr>
      <w:r w:rsidRPr="00B45DE7">
        <w:rPr>
          <w:i/>
          <w:iCs/>
        </w:rPr>
        <w:t>Goals</w:t>
      </w:r>
    </w:p>
    <w:p w14:paraId="6FFDC05F" w14:textId="77777777" w:rsidR="005D4760" w:rsidRDefault="005D4760" w:rsidP="005D4760">
      <w:pPr>
        <w:pStyle w:val="NoSpacing"/>
        <w:numPr>
          <w:ilvl w:val="0"/>
          <w:numId w:val="13"/>
        </w:numPr>
      </w:pPr>
      <w:r>
        <w:t>Maintain and enhance Mashpee’s small-town community character, natural beauty, and cultural and historical amenities.</w:t>
      </w:r>
    </w:p>
    <w:p w14:paraId="31335632" w14:textId="77777777" w:rsidR="005D4760" w:rsidRDefault="005D4760" w:rsidP="005D4760">
      <w:pPr>
        <w:pStyle w:val="NoSpacing"/>
        <w:numPr>
          <w:ilvl w:val="0"/>
          <w:numId w:val="13"/>
        </w:numPr>
      </w:pPr>
      <w:r>
        <w:t>Ensure development is consistent with current and future growth projections and is responsive to infrastructural capacity and resource availability so that people and families are stably housed, further degradation of Mashpee’s polluted waterbodies is prevented, and traffic flow and congestion are properly mitigated.</w:t>
      </w:r>
    </w:p>
    <w:p w14:paraId="740B6DDE" w14:textId="77777777" w:rsidR="005D4760" w:rsidRDefault="005D4760" w:rsidP="005D4760">
      <w:pPr>
        <w:pStyle w:val="NoSpacing"/>
        <w:numPr>
          <w:ilvl w:val="0"/>
          <w:numId w:val="13"/>
        </w:numPr>
      </w:pPr>
      <w:r>
        <w:t>Promote mixed-use development/redevelopment to concentrate various activities in appropriate centralized locations.</w:t>
      </w:r>
    </w:p>
    <w:p w14:paraId="318D0562" w14:textId="77777777" w:rsidR="005D4760" w:rsidRDefault="005D4760" w:rsidP="005D4760">
      <w:pPr>
        <w:pStyle w:val="NoSpacing"/>
        <w:numPr>
          <w:ilvl w:val="0"/>
          <w:numId w:val="13"/>
        </w:numPr>
      </w:pPr>
      <w:r>
        <w:t>Limit gentrification of historically low-income neighborhoods and culturally significant areas of the Town.</w:t>
      </w:r>
    </w:p>
    <w:p w14:paraId="6E932772" w14:textId="6A8575AA" w:rsidR="005D4760" w:rsidRDefault="005D4760" w:rsidP="00E376B3">
      <w:pPr>
        <w:pStyle w:val="NoSpacing"/>
        <w:numPr>
          <w:ilvl w:val="0"/>
          <w:numId w:val="13"/>
        </w:numPr>
      </w:pPr>
      <w:r>
        <w:t>Ensure access and availability of high-quality drinking water, within the allowed nutrient loading from wastewater (such as the TDML for Nitrogen) by ushering in growth that does not degrade the Town’s capacity to deliver or the capacity of our natural systems.</w:t>
      </w:r>
    </w:p>
    <w:p w14:paraId="1E5D280B" w14:textId="56905661" w:rsidR="005D4760" w:rsidRPr="00E376B3" w:rsidRDefault="005D4760" w:rsidP="005D4760">
      <w:pPr>
        <w:pStyle w:val="NoSpacing"/>
        <w:rPr>
          <w:i/>
          <w:iCs/>
        </w:rPr>
      </w:pPr>
      <w:r w:rsidRPr="00E376B3">
        <w:rPr>
          <w:i/>
          <w:iCs/>
        </w:rPr>
        <w:lastRenderedPageBreak/>
        <w:t>Policies</w:t>
      </w:r>
    </w:p>
    <w:p w14:paraId="0E84CE22" w14:textId="77777777" w:rsidR="005D4760" w:rsidRDefault="005D4760" w:rsidP="005D4760">
      <w:pPr>
        <w:pStyle w:val="NoSpacing"/>
        <w:numPr>
          <w:ilvl w:val="0"/>
          <w:numId w:val="14"/>
        </w:numPr>
      </w:pPr>
      <w:r>
        <w:t>Focus new growth in already disturbed areas of Town where adequate infrastructure is planned or in place and incentivize the protection/preservation of the remaining vacant properties where the only feasible growth does not meet the projected housing need (year-round housing).</w:t>
      </w:r>
    </w:p>
    <w:p w14:paraId="3CF8D23C" w14:textId="77777777" w:rsidR="005D4760" w:rsidRDefault="005D4760" w:rsidP="005D4760">
      <w:pPr>
        <w:pStyle w:val="NoSpacing"/>
        <w:numPr>
          <w:ilvl w:val="0"/>
          <w:numId w:val="14"/>
        </w:numPr>
      </w:pPr>
      <w:r>
        <w:t xml:space="preserve">Ensure Town services and facilities are adequate in consideration of current shortfalls and future growth projections. </w:t>
      </w:r>
    </w:p>
    <w:p w14:paraId="229CA36C" w14:textId="77777777" w:rsidR="005D4760" w:rsidRDefault="005D4760" w:rsidP="005D4760">
      <w:pPr>
        <w:pStyle w:val="NoSpacing"/>
        <w:numPr>
          <w:ilvl w:val="0"/>
          <w:numId w:val="14"/>
        </w:numPr>
      </w:pPr>
      <w:r>
        <w:t>Maintain the legitimacy and accuracy of the zoning bylaw and other local regulatory documents.</w:t>
      </w:r>
    </w:p>
    <w:p w14:paraId="1313267F" w14:textId="77777777" w:rsidR="005D4760" w:rsidRDefault="005D4760" w:rsidP="005D4760">
      <w:pPr>
        <w:pStyle w:val="NoSpacing"/>
        <w:numPr>
          <w:ilvl w:val="0"/>
          <w:numId w:val="14"/>
        </w:numPr>
      </w:pPr>
      <w:r>
        <w:t>Identify opportunities for mixed-use development in existing commercial areas as appropriate.</w:t>
      </w:r>
    </w:p>
    <w:p w14:paraId="025B4FCB" w14:textId="77777777" w:rsidR="005D4760" w:rsidRDefault="005D4760" w:rsidP="005D4760">
      <w:pPr>
        <w:pStyle w:val="NoSpacing"/>
        <w:numPr>
          <w:ilvl w:val="0"/>
          <w:numId w:val="14"/>
        </w:numPr>
      </w:pPr>
      <w:r>
        <w:t xml:space="preserve">Ensure that any new growth does not exceed the Town’s capacity to provide high quality drinking water and/or treat wastewater. </w:t>
      </w:r>
    </w:p>
    <w:p w14:paraId="6866745D" w14:textId="77777777" w:rsidR="005D4760" w:rsidRDefault="005D4760" w:rsidP="005D4760">
      <w:pPr>
        <w:pStyle w:val="NoSpacing"/>
        <w:numPr>
          <w:ilvl w:val="0"/>
          <w:numId w:val="14"/>
        </w:numPr>
      </w:pPr>
      <w:r>
        <w:t>Improve connectivity between neighborhoods, between commercial, municipal and residential centers, and between Mashpee’s unique combination of native American community, resort community, and residential/small town.</w:t>
      </w:r>
    </w:p>
    <w:p w14:paraId="229F45E0" w14:textId="1A5A7BFE" w:rsidR="00562A08" w:rsidRDefault="005D4760" w:rsidP="00E376B3">
      <w:pPr>
        <w:pStyle w:val="NoSpacing"/>
        <w:numPr>
          <w:ilvl w:val="0"/>
          <w:numId w:val="14"/>
        </w:numPr>
      </w:pPr>
      <w:r>
        <w:t>Ensure new development provides a net tax by encouraging or requiring the use of fiscal impact analysis for certain uses or projects.</w:t>
      </w:r>
    </w:p>
    <w:p w14:paraId="089CA440" w14:textId="738C9938" w:rsidR="00436D12" w:rsidRDefault="00436D12" w:rsidP="00FD4EBB">
      <w:pPr>
        <w:pStyle w:val="NoSpacing"/>
      </w:pPr>
    </w:p>
    <w:p w14:paraId="73DEFE57" w14:textId="76E835FB" w:rsidR="00436D12" w:rsidRDefault="00436D12" w:rsidP="00FD4EBB">
      <w:pPr>
        <w:pStyle w:val="NoSpacing"/>
      </w:pPr>
    </w:p>
    <w:p w14:paraId="456BD3AC" w14:textId="2BAF73A8" w:rsidR="00436D12" w:rsidRDefault="00436D12" w:rsidP="00FD4EBB">
      <w:pPr>
        <w:pStyle w:val="NoSpacing"/>
      </w:pPr>
    </w:p>
    <w:p w14:paraId="04F4C4F5" w14:textId="2F8C417E" w:rsidR="00436D12" w:rsidRDefault="00436D12" w:rsidP="00FD4EBB">
      <w:pPr>
        <w:pStyle w:val="NoSpacing"/>
      </w:pPr>
    </w:p>
    <w:p w14:paraId="32B944C2" w14:textId="50985330" w:rsidR="00436D12" w:rsidRDefault="00436D12" w:rsidP="00FD4EBB">
      <w:pPr>
        <w:pStyle w:val="NoSpacing"/>
      </w:pPr>
    </w:p>
    <w:p w14:paraId="7EBC47DA" w14:textId="28BBE0BC" w:rsidR="00436D12" w:rsidRDefault="00436D12" w:rsidP="00FD4EBB">
      <w:pPr>
        <w:pStyle w:val="NoSpacing"/>
      </w:pPr>
    </w:p>
    <w:p w14:paraId="4AA954D4" w14:textId="420A5A63" w:rsidR="00436D12" w:rsidRDefault="00436D12" w:rsidP="00FD4EBB">
      <w:pPr>
        <w:pStyle w:val="NoSpacing"/>
      </w:pPr>
    </w:p>
    <w:p w14:paraId="223A6CBF" w14:textId="52BA55D6" w:rsidR="00436D12" w:rsidRDefault="00436D12" w:rsidP="00FD4EBB">
      <w:pPr>
        <w:pStyle w:val="NoSpacing"/>
      </w:pPr>
    </w:p>
    <w:p w14:paraId="517BC952" w14:textId="7C28FFD9" w:rsidR="00436D12" w:rsidRDefault="00436D12" w:rsidP="00FD4EBB">
      <w:pPr>
        <w:pStyle w:val="NoSpacing"/>
      </w:pPr>
    </w:p>
    <w:p w14:paraId="4BEC1CF2" w14:textId="59A5AF4E" w:rsidR="00436D12" w:rsidRDefault="00436D12" w:rsidP="00FD4EBB">
      <w:pPr>
        <w:pStyle w:val="NoSpacing"/>
      </w:pPr>
    </w:p>
    <w:p w14:paraId="4443281D" w14:textId="21448578" w:rsidR="00436D12" w:rsidRDefault="00436D12" w:rsidP="00FD4EBB">
      <w:pPr>
        <w:pStyle w:val="NoSpacing"/>
      </w:pPr>
    </w:p>
    <w:p w14:paraId="5CC1071C" w14:textId="132B65F2" w:rsidR="00436D12" w:rsidRDefault="00436D12" w:rsidP="00FD4EBB">
      <w:pPr>
        <w:pStyle w:val="NoSpacing"/>
      </w:pPr>
    </w:p>
    <w:p w14:paraId="02F2AB64" w14:textId="77777777" w:rsidR="00436D12" w:rsidRDefault="00436D12" w:rsidP="00FD4EBB">
      <w:pPr>
        <w:pStyle w:val="NoSpacing"/>
      </w:pPr>
    </w:p>
    <w:p w14:paraId="7C5A7F03" w14:textId="03D797EA" w:rsidR="00436D12" w:rsidRDefault="00436D12" w:rsidP="00FD4EBB">
      <w:pPr>
        <w:pStyle w:val="NoSpacing"/>
      </w:pPr>
    </w:p>
    <w:p w14:paraId="00EBAB07" w14:textId="1BE07DED" w:rsidR="00436D12" w:rsidRDefault="00436D12" w:rsidP="00FD4EBB">
      <w:pPr>
        <w:pStyle w:val="NoSpacing"/>
      </w:pPr>
    </w:p>
    <w:p w14:paraId="0E4BBD93" w14:textId="77777777" w:rsidR="00436D12" w:rsidRDefault="00436D12" w:rsidP="00FD4EBB">
      <w:pPr>
        <w:pStyle w:val="NoSpacing"/>
      </w:pPr>
    </w:p>
    <w:p w14:paraId="3ED41C24" w14:textId="6A4854F6" w:rsidR="00562A08" w:rsidRDefault="00562A08" w:rsidP="00FD4EBB">
      <w:pPr>
        <w:pStyle w:val="NoSpacing"/>
      </w:pPr>
    </w:p>
    <w:p w14:paraId="73F050EF" w14:textId="655DCC6B" w:rsidR="00562A08" w:rsidRDefault="00562A08" w:rsidP="00FD4EBB">
      <w:pPr>
        <w:pStyle w:val="NoSpacing"/>
      </w:pPr>
    </w:p>
    <w:p w14:paraId="5A781EC7" w14:textId="4D41A670" w:rsidR="00562A08" w:rsidRDefault="00562A08" w:rsidP="00FD4EBB">
      <w:pPr>
        <w:pStyle w:val="NoSpacing"/>
      </w:pPr>
    </w:p>
    <w:p w14:paraId="6A9AF0F9" w14:textId="551B7BF0" w:rsidR="00562A08" w:rsidRDefault="00562A08" w:rsidP="00FD4EBB">
      <w:pPr>
        <w:pStyle w:val="NoSpacing"/>
      </w:pPr>
    </w:p>
    <w:sectPr w:rsidR="00562A08" w:rsidSect="005D4760">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eeds, Logan" w:date="2022-08-10T11:30:00Z" w:initials="LL">
    <w:p w14:paraId="234061D1" w14:textId="11CD5C7C" w:rsidR="00334AA6" w:rsidRDefault="00334AA6" w:rsidP="002D609D">
      <w:pPr>
        <w:pStyle w:val="CommentText"/>
      </w:pPr>
      <w:r>
        <w:rPr>
          <w:rStyle w:val="CommentReference"/>
        </w:rPr>
        <w:annotationRef/>
      </w:r>
      <w:r>
        <w:t>Add map of open space incentive development</w:t>
      </w:r>
    </w:p>
  </w:comment>
  <w:comment w:id="4" w:author="Leeds, Logan" w:date="2022-09-13T10:20:00Z" w:initials="LL">
    <w:p w14:paraId="0A3D4C1D" w14:textId="77777777" w:rsidR="00BD4711" w:rsidRDefault="00BD4711" w:rsidP="000048A4">
      <w:pPr>
        <w:pStyle w:val="CommentText"/>
      </w:pPr>
      <w:r>
        <w:rPr>
          <w:rStyle w:val="CommentReference"/>
        </w:rPr>
        <w:annotationRef/>
      </w:r>
      <w:r>
        <w:t>Added to internal punchlist</w:t>
      </w:r>
    </w:p>
  </w:comment>
  <w:comment w:id="5" w:author="Sweet, Ashley" w:date="2024-02-23T14:08:00Z" w:initials="SA">
    <w:p w14:paraId="3F6B0A06" w14:textId="77777777" w:rsidR="00ED6235" w:rsidRDefault="00ED6235" w:rsidP="00ED6235">
      <w:pPr>
        <w:pStyle w:val="CommentText"/>
      </w:pPr>
      <w:r>
        <w:rPr>
          <w:rStyle w:val="CommentReference"/>
        </w:rPr>
        <w:annotationRef/>
      </w:r>
      <w:r>
        <w:t>Evan, I reorganized this section a bit and added this portion. Please double check that I got this correct. I tried searching you rules and regs but they are not a searchable PDF, so short of reading them in full I did my best to summarize them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061D1" w15:done="0"/>
  <w15:commentEx w15:paraId="0A3D4C1D" w15:paraIdParent="234061D1" w15:done="0"/>
  <w15:commentEx w15:paraId="3F6B0A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E1539" w16cex:dateUtc="2022-08-10T15:30:00Z"/>
  <w16cex:commentExtensible w16cex:durableId="26CAD7F7" w16cex:dateUtc="2022-09-13T14:20:00Z"/>
  <w16cex:commentExtensible w16cex:durableId="0DBF5F21" w16cex:dateUtc="2024-02-23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061D1" w16cid:durableId="269E1539"/>
  <w16cid:commentId w16cid:paraId="0A3D4C1D" w16cid:durableId="26CAD7F7"/>
  <w16cid:commentId w16cid:paraId="3F6B0A06" w16cid:durableId="0DBF5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1D32" w14:textId="77777777" w:rsidR="007E018C" w:rsidRDefault="007E018C" w:rsidP="007E018C">
      <w:pPr>
        <w:spacing w:after="0" w:line="240" w:lineRule="auto"/>
      </w:pPr>
      <w:r>
        <w:separator/>
      </w:r>
    </w:p>
  </w:endnote>
  <w:endnote w:type="continuationSeparator" w:id="0">
    <w:p w14:paraId="202952FB" w14:textId="77777777" w:rsidR="007E018C" w:rsidRDefault="007E018C" w:rsidP="007E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Helvetica Neue">
    <w:panose1 w:val="02000206000000020004"/>
    <w:charset w:val="00"/>
    <w:family w:val="auto"/>
    <w:pitch w:val="variable"/>
    <w:sig w:usb0="A0002AE7" w:usb1="00000000" w:usb2="00000000" w:usb3="00000000" w:csb0="000001FF" w:csb1="00000000"/>
  </w:font>
  <w:font w:name="Swis721 BT">
    <w:panose1 w:val="020B05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E973" w14:textId="74339F1F" w:rsidR="005D4760" w:rsidRPr="00200FD3" w:rsidRDefault="000747C3" w:rsidP="005D4760">
    <w:pPr>
      <w:tabs>
        <w:tab w:val="left" w:pos="3915"/>
        <w:tab w:val="center" w:pos="4853"/>
      </w:tabs>
    </w:pPr>
    <w:r>
      <w:rPr>
        <w:noProof/>
      </w:rPr>
      <w:drawing>
        <wp:anchor distT="0" distB="0" distL="114300" distR="114300" simplePos="0" relativeHeight="251672576" behindDoc="1" locked="0" layoutInCell="0" allowOverlap="1" wp14:anchorId="6ECAE5B2" wp14:editId="5A163FAB">
          <wp:simplePos x="0" y="0"/>
          <wp:positionH relativeFrom="margin">
            <wp:posOffset>4340860</wp:posOffset>
          </wp:positionH>
          <wp:positionV relativeFrom="margin">
            <wp:posOffset>8361680</wp:posOffset>
          </wp:positionV>
          <wp:extent cx="1737360" cy="502920"/>
          <wp:effectExtent l="0" t="0" r="0" b="0"/>
          <wp:wrapNone/>
          <wp:docPr id="10" name="Picture 19"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lu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0" allowOverlap="1" wp14:anchorId="7EC39343" wp14:editId="600B3C51">
              <wp:simplePos x="0" y="0"/>
              <wp:positionH relativeFrom="column">
                <wp:posOffset>59055</wp:posOffset>
              </wp:positionH>
              <wp:positionV relativeFrom="page">
                <wp:posOffset>9406890</wp:posOffset>
              </wp:positionV>
              <wp:extent cx="2377440" cy="3016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1625"/>
                      </a:xfrm>
                      <a:prstGeom prst="rect">
                        <a:avLst/>
                      </a:prstGeom>
                      <a:noFill/>
                      <a:ln w="9525">
                        <a:noFill/>
                        <a:miter lim="800000"/>
                        <a:headEnd/>
                        <a:tailEnd/>
                      </a:ln>
                    </wps:spPr>
                    <wps:txbx>
                      <w:txbxContent>
                        <w:p w14:paraId="3FBC1538" w14:textId="77777777" w:rsidR="005D4760" w:rsidRPr="007211AF" w:rsidRDefault="005D4760" w:rsidP="005D4760">
                          <w:pPr>
                            <w:spacing w:line="144" w:lineRule="exact"/>
                            <w:rPr>
                              <w:rFonts w:ascii="Arial" w:hAnsi="Arial" w:cs="Arial"/>
                              <w:sz w:val="14"/>
                              <w:szCs w:val="14"/>
                            </w:rPr>
                          </w:pPr>
                          <w:r w:rsidRPr="007211AF">
                            <w:rPr>
                              <w:rFonts w:ascii="Arial" w:hAnsi="Arial" w:cs="Arial"/>
                              <w:sz w:val="14"/>
                              <w:szCs w:val="14"/>
                            </w:rPr>
                            <w:t>westonandsampson.com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EC39343" id="_x0000_t202" coordsize="21600,21600" o:spt="202" path="m,l,21600r21600,l21600,xe">
              <v:stroke joinstyle="miter"/>
              <v:path gradientshapeok="t" o:connecttype="rect"/>
            </v:shapetype>
            <v:shape id="Text Box 17" o:spid="_x0000_s1027" type="#_x0000_t202" style="position:absolute;margin-left:4.65pt;margin-top:740.7pt;width:187.2pt;height:23.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" o:allowincell="f" filled="f" stroked="f">
              <v:textbox>
                <w:txbxContent>
                  <w:p w14:paraId="3FBC1538" w14:textId="77777777" w:rsidR="005D4760" w:rsidRPr="007211AF" w:rsidRDefault="005D4760" w:rsidP="005D4760">
                    <w:pPr>
                      <w:spacing w:line="144" w:lineRule="exact"/>
                      <w:rPr>
                        <w:rFonts w:ascii="Arial" w:hAnsi="Arial" w:cs="Arial"/>
                        <w:sz w:val="14"/>
                        <w:szCs w:val="14"/>
                      </w:rPr>
                    </w:pPr>
                    <w:r w:rsidRPr="007211AF">
                      <w:rPr>
                        <w:rFonts w:ascii="Arial" w:hAnsi="Arial" w:cs="Arial"/>
                        <w:sz w:val="14"/>
                        <w:szCs w:val="14"/>
                      </w:rPr>
                      <w:t>westonandsampson.com</w:t>
                    </w:r>
                  </w:p>
                </w:txbxContent>
              </v:textbox>
              <w10:wrap anchory="page"/>
            </v:shape>
          </w:pict>
        </mc:Fallback>
      </mc:AlternateContent>
    </w:r>
    <w:r w:rsidR="005D4760">
      <w:rPr>
        <w:noProof/>
      </w:rPr>
      <w:drawing>
        <wp:anchor distT="0" distB="0" distL="114300" distR="114300" simplePos="0" relativeHeight="251671552" behindDoc="1" locked="0" layoutInCell="0" allowOverlap="1" wp14:anchorId="03C03B4D" wp14:editId="488C8948">
          <wp:simplePos x="0" y="0"/>
          <wp:positionH relativeFrom="margin">
            <wp:posOffset>62230</wp:posOffset>
          </wp:positionH>
          <wp:positionV relativeFrom="margin">
            <wp:posOffset>8243570</wp:posOffset>
          </wp:positionV>
          <wp:extent cx="5943600" cy="155575"/>
          <wp:effectExtent l="0" t="0" r="0" b="0"/>
          <wp:wrapNone/>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r="5945"/>
                  <a:stretch>
                    <a:fillRect/>
                  </a:stretch>
                </pic:blipFill>
                <pic:spPr bwMode="auto">
                  <a:xfrm>
                    <a:off x="0" y="0"/>
                    <a:ext cx="594360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760">
      <w:tab/>
    </w:r>
    <w:r w:rsidR="005D4760">
      <w:tab/>
    </w:r>
  </w:p>
  <w:p w14:paraId="19BE3CCB" w14:textId="79BB0D16" w:rsidR="00000B4F" w:rsidRPr="000747C3" w:rsidRDefault="005D4760" w:rsidP="005D4760">
    <w:pPr>
      <w:pStyle w:val="Footer"/>
      <w:jc w:val="center"/>
      <w:rPr>
        <w:rFonts w:cs="Arial"/>
      </w:rPr>
    </w:pPr>
    <w:r w:rsidRPr="00E376B3">
      <w:rPr>
        <w:rFonts w:cs="Arial"/>
      </w:rPr>
      <w:t>5-</w:t>
    </w:r>
    <w:r w:rsidRPr="00E376B3">
      <w:rPr>
        <w:rFonts w:cs="Arial"/>
      </w:rPr>
      <w:fldChar w:fldCharType="begin"/>
    </w:r>
    <w:r w:rsidRPr="00E376B3">
      <w:rPr>
        <w:rFonts w:cs="Arial"/>
      </w:rPr>
      <w:instrText xml:space="preserve"> PAGE   \* MERGEFORMAT </w:instrText>
    </w:r>
    <w:r w:rsidRPr="00E376B3">
      <w:rPr>
        <w:rFonts w:cs="Arial"/>
      </w:rPr>
      <w:fldChar w:fldCharType="separate"/>
    </w:r>
    <w:r w:rsidRPr="00E376B3">
      <w:rPr>
        <w:rFonts w:cs="Arial"/>
      </w:rPr>
      <w:t>6</w:t>
    </w:r>
    <w:r w:rsidRPr="00E376B3">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5368" w14:textId="77777777" w:rsidR="007E018C" w:rsidRDefault="007E018C" w:rsidP="007E018C">
      <w:pPr>
        <w:spacing w:after="0" w:line="240" w:lineRule="auto"/>
      </w:pPr>
      <w:r>
        <w:separator/>
      </w:r>
    </w:p>
  </w:footnote>
  <w:footnote w:type="continuationSeparator" w:id="0">
    <w:p w14:paraId="790EC45F" w14:textId="77777777" w:rsidR="007E018C" w:rsidRDefault="007E018C" w:rsidP="007E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0ED9" w14:textId="1074C2DE" w:rsidR="000747C3" w:rsidRDefault="000747C3">
    <w:pPr>
      <w:pStyle w:val="Header"/>
    </w:pPr>
    <w:r>
      <w:rPr>
        <w:noProof/>
      </w:rPr>
      <mc:AlternateContent>
        <mc:Choice Requires="wps">
          <w:drawing>
            <wp:anchor distT="0" distB="0" distL="114300" distR="114300" simplePos="0" relativeHeight="251675648" behindDoc="0" locked="0" layoutInCell="0" allowOverlap="1" wp14:anchorId="2AD5E9DD" wp14:editId="6B799C26">
              <wp:simplePos x="0" y="0"/>
              <wp:positionH relativeFrom="column">
                <wp:posOffset>228600</wp:posOffset>
              </wp:positionH>
              <wp:positionV relativeFrom="page">
                <wp:posOffset>445226</wp:posOffset>
              </wp:positionV>
              <wp:extent cx="2219325" cy="283028"/>
              <wp:effectExtent l="0" t="0" r="0" b="3175"/>
              <wp:wrapNone/>
              <wp:docPr id="21060879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3028"/>
                      </a:xfrm>
                      <a:prstGeom prst="rect">
                        <a:avLst/>
                      </a:prstGeom>
                      <a:noFill/>
                      <a:ln w="9525">
                        <a:noFill/>
                        <a:miter lim="800000"/>
                        <a:headEnd/>
                        <a:tailEnd/>
                      </a:ln>
                    </wps:spPr>
                    <wps:txbx>
                      <w:txbxContent>
                        <w:p w14:paraId="594A526B" w14:textId="2329A2E0" w:rsidR="000747C3" w:rsidRPr="00A007F8" w:rsidRDefault="000747C3" w:rsidP="000747C3">
                          <w:pPr>
                            <w:rPr>
                              <w:rFonts w:ascii="Swis721 BT" w:hAnsi="Swis721 BT"/>
                              <w:color w:val="FFFFFF" w:themeColor="background1"/>
                              <w:sz w:val="18"/>
                              <w:szCs w:val="18"/>
                            </w:rPr>
                          </w:pPr>
                          <w:r>
                            <w:rPr>
                              <w:rFonts w:ascii="Swis721 BT" w:hAnsi="Swis721 BT"/>
                              <w:color w:val="FFFFFF" w:themeColor="background1"/>
                              <w:sz w:val="18"/>
                              <w:szCs w:val="18"/>
                            </w:rPr>
                            <w:t>MASHPEE, MA</w:t>
                          </w:r>
                          <w:r>
                            <w:rPr>
                              <w:rFonts w:ascii="Swis721 BT" w:hAnsi="Swis721 BT"/>
                              <w:color w:val="FFFFFF" w:themeColor="background1"/>
                              <w:sz w:val="18"/>
                              <w:szCs w:val="18"/>
                            </w:rPr>
                            <w:tab/>
                          </w:r>
                          <w:r>
                            <w:rPr>
                              <w:rFonts w:ascii="Swis721 BT" w:hAnsi="Swis721 BT"/>
                              <w:color w:val="FFFFFF" w:themeColor="background1"/>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5E9DD" id="_x0000_t202" coordsize="21600,21600" o:spt="202" path="m,l,21600r21600,l21600,xe">
              <v:stroke joinstyle="miter"/>
              <v:path gradientshapeok="t" o:connecttype="rect"/>
            </v:shapetype>
            <v:shape id="Text Box 1" o:spid="_x0000_s1026" type="#_x0000_t202" style="position:absolute;margin-left:18pt;margin-top:35.05pt;width:174.75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" o:allowincell="f" filled="f" stroked="f">
              <v:textbox>
                <w:txbxContent>
                  <w:p w14:paraId="594A526B" w14:textId="2329A2E0" w:rsidR="000747C3" w:rsidRPr="00A007F8" w:rsidRDefault="000747C3" w:rsidP="000747C3">
                    <w:pPr>
                      <w:rPr>
                        <w:rFonts w:ascii="Swis721 BT" w:hAnsi="Swis721 BT"/>
                        <w:color w:val="FFFFFF" w:themeColor="background1"/>
                        <w:sz w:val="18"/>
                        <w:szCs w:val="18"/>
                      </w:rPr>
                    </w:pPr>
                    <w:r>
                      <w:rPr>
                        <w:rFonts w:ascii="Swis721 BT" w:hAnsi="Swis721 BT"/>
                        <w:color w:val="FFFFFF" w:themeColor="background1"/>
                        <w:sz w:val="18"/>
                        <w:szCs w:val="18"/>
                      </w:rPr>
                      <w:t>MASHPEE, MA</w:t>
                    </w:r>
                    <w:r>
                      <w:rPr>
                        <w:rFonts w:ascii="Swis721 BT" w:hAnsi="Swis721 BT"/>
                        <w:color w:val="FFFFFF" w:themeColor="background1"/>
                        <w:sz w:val="18"/>
                        <w:szCs w:val="18"/>
                      </w:rPr>
                      <w:tab/>
                    </w:r>
                    <w:r>
                      <w:rPr>
                        <w:rFonts w:ascii="Swis721 BT" w:hAnsi="Swis721 BT"/>
                        <w:color w:val="FFFFFF" w:themeColor="background1"/>
                        <w:sz w:val="18"/>
                        <w:szCs w:val="18"/>
                      </w:rPr>
                      <w:tab/>
                    </w:r>
                  </w:p>
                </w:txbxContent>
              </v:textbox>
              <w10:wrap anchory="page"/>
            </v:shape>
          </w:pict>
        </mc:Fallback>
      </mc:AlternateContent>
    </w:r>
    <w:r>
      <w:rPr>
        <w:noProof/>
      </w:rPr>
      <mc:AlternateContent>
        <mc:Choice Requires="wps">
          <w:drawing>
            <wp:anchor distT="0" distB="0" distL="114300" distR="114300" simplePos="0" relativeHeight="251674624" behindDoc="0" locked="0" layoutInCell="0" allowOverlap="1" wp14:anchorId="336847FB" wp14:editId="429E2A7F">
              <wp:simplePos x="0" y="0"/>
              <wp:positionH relativeFrom="column">
                <wp:posOffset>0</wp:posOffset>
              </wp:positionH>
              <wp:positionV relativeFrom="page">
                <wp:posOffset>466725</wp:posOffset>
              </wp:positionV>
              <wp:extent cx="2114550" cy="191770"/>
              <wp:effectExtent l="0" t="0" r="0" b="0"/>
              <wp:wrapNone/>
              <wp:docPr id="3180003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91770"/>
                      </a:xfrm>
                      <a:prstGeom prst="rect">
                        <a:avLst/>
                      </a:prstGeom>
                      <a:solidFill>
                        <a:sysClr val="windowText" lastClr="000000">
                          <a:alpha val="3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6BEA" id="Rectangle 2" o:spid="_x0000_s1026" style="position:absolute;margin-left:0;margin-top:36.75pt;width:166.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" o:allowincell="f" fillcolor="windowText" stroked="f" strokeweight="2pt">
              <v:fill opacity="19789f"/>
              <w10:wrap anchory="page"/>
            </v:rect>
          </w:pict>
        </mc:Fallback>
      </mc:AlternateContent>
    </w:r>
    <w:r w:rsidRPr="00292CEF">
      <w:tab/>
    </w:r>
    <w:r>
      <w:rPr>
        <w:sz w:val="28"/>
        <w:szCs w:val="28"/>
      </w:rPr>
      <w:t xml:space="preserve">                                                                         </w:t>
    </w:r>
    <w:r w:rsidRPr="000C6F1F">
      <w:rPr>
        <w:sz w:val="28"/>
        <w:szCs w:val="28"/>
      </w:rPr>
      <w:t>2023 Local Comprehensive Plan</w:t>
    </w:r>
    <w:r>
      <w:rPr>
        <w:sz w:val="28"/>
        <w:szCs w:val="28"/>
      </w:rPr>
      <w:tab/>
    </w:r>
    <w:r>
      <w:rPr>
        <w:sz w:val="28"/>
        <w:szCs w:val="28"/>
      </w:rPr>
      <w:tab/>
    </w:r>
    <w:r>
      <w:rPr>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1B2"/>
    <w:multiLevelType w:val="hybridMultilevel"/>
    <w:tmpl w:val="28466150"/>
    <w:lvl w:ilvl="0" w:tplc="4386D14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83CC3"/>
    <w:multiLevelType w:val="hybridMultilevel"/>
    <w:tmpl w:val="5624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B5F16"/>
    <w:multiLevelType w:val="hybridMultilevel"/>
    <w:tmpl w:val="5BD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326E"/>
    <w:multiLevelType w:val="hybridMultilevel"/>
    <w:tmpl w:val="4ECC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0034"/>
    <w:multiLevelType w:val="hybridMultilevel"/>
    <w:tmpl w:val="4ECC75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EB51D1"/>
    <w:multiLevelType w:val="multilevel"/>
    <w:tmpl w:val="D8467D3E"/>
    <w:lvl w:ilvl="0">
      <w:start w:val="5"/>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6F54308"/>
    <w:multiLevelType w:val="hybridMultilevel"/>
    <w:tmpl w:val="7A64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62A87"/>
    <w:multiLevelType w:val="hybridMultilevel"/>
    <w:tmpl w:val="6BF8AA18"/>
    <w:lvl w:ilvl="0" w:tplc="910875D2">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D386F"/>
    <w:multiLevelType w:val="multilevel"/>
    <w:tmpl w:val="4902295E"/>
    <w:lvl w:ilvl="0">
      <w:start w:val="10"/>
      <w:numFmt w:val="none"/>
      <w:lvlText w:val="5.0"/>
      <w:lvlJc w:val="center"/>
      <w:pPr>
        <w:tabs>
          <w:tab w:val="num" w:pos="432"/>
        </w:tabs>
        <w:ind w:left="432" w:hanging="144"/>
      </w:pPr>
      <w:rPr>
        <w:rFonts w:hint="default"/>
        <w:b/>
        <w:i w:val="0"/>
        <w:u w:val="none"/>
      </w:rPr>
    </w:lvl>
    <w:lvl w:ilvl="1">
      <w:start w:val="1"/>
      <w:numFmt w:val="decimal"/>
      <w:pStyle w:val="Heading"/>
      <w:lvlText w:val="5%1.%2"/>
      <w:lvlJc w:val="left"/>
      <w:pPr>
        <w:tabs>
          <w:tab w:val="num" w:pos="576"/>
        </w:tabs>
        <w:ind w:left="0" w:firstLine="0"/>
      </w:pPr>
      <w:rPr>
        <w:rFonts w:hint="default"/>
        <w:b/>
        <w:i w:val="0"/>
        <w:u w:val="none"/>
      </w:rPr>
    </w:lvl>
    <w:lvl w:ilvl="2">
      <w:start w:val="1"/>
      <w:numFmt w:val="decimal"/>
      <w:lvlText w:val="5%1.%2.%3"/>
      <w:lvlJc w:val="left"/>
      <w:pPr>
        <w:tabs>
          <w:tab w:val="num" w:pos="720"/>
        </w:tabs>
        <w:ind w:left="720" w:hanging="720"/>
      </w:pPr>
      <w:rPr>
        <w:rFonts w:hint="default"/>
        <w:u w:val="none"/>
      </w:rPr>
    </w:lvl>
    <w:lvl w:ilvl="3">
      <w:start w:val="1"/>
      <w:numFmt w:val="decimal"/>
      <w:lvlText w:val="5%1.%2.%3.%4"/>
      <w:lvlJc w:val="left"/>
      <w:pPr>
        <w:tabs>
          <w:tab w:val="num" w:pos="864"/>
        </w:tabs>
        <w:ind w:left="864" w:hanging="864"/>
      </w:pPr>
      <w:rPr>
        <w:rFonts w:hint="default"/>
        <w:b w:val="0"/>
        <w:i/>
      </w:rPr>
    </w:lvl>
    <w:lvl w:ilvl="4">
      <w:start w:val="1"/>
      <w:numFmt w:val="decimal"/>
      <w:lvlText w:val="5%1.%2.%3.%4.%5"/>
      <w:lvlJc w:val="left"/>
      <w:pPr>
        <w:tabs>
          <w:tab w:val="num" w:pos="1008"/>
        </w:tabs>
        <w:ind w:left="1008" w:hanging="1008"/>
      </w:pPr>
      <w:rPr>
        <w:rFonts w:hint="default"/>
      </w:rPr>
    </w:lvl>
    <w:lvl w:ilvl="5">
      <w:start w:val="1"/>
      <w:numFmt w:val="decimal"/>
      <w:lvlText w:val="5%1.%2.%3.%4.%5.%6"/>
      <w:lvlJc w:val="left"/>
      <w:pPr>
        <w:tabs>
          <w:tab w:val="num" w:pos="1152"/>
        </w:tabs>
        <w:ind w:left="1152" w:hanging="1152"/>
      </w:pPr>
      <w:rPr>
        <w:rFonts w:hint="default"/>
      </w:rPr>
    </w:lvl>
    <w:lvl w:ilvl="6">
      <w:start w:val="1"/>
      <w:numFmt w:val="decimal"/>
      <w:lvlText w:val="5%1.%2.%3.%4.%5.%6.%7"/>
      <w:lvlJc w:val="left"/>
      <w:pPr>
        <w:tabs>
          <w:tab w:val="num" w:pos="1296"/>
        </w:tabs>
        <w:ind w:left="1296" w:hanging="1296"/>
      </w:pPr>
      <w:rPr>
        <w:rFonts w:hint="default"/>
      </w:rPr>
    </w:lvl>
    <w:lvl w:ilvl="7">
      <w:start w:val="1"/>
      <w:numFmt w:val="decimal"/>
      <w:lvlText w:val="5%1.%2.%3.%4.%5.%6.%7.%8"/>
      <w:lvlJc w:val="left"/>
      <w:pPr>
        <w:tabs>
          <w:tab w:val="num" w:pos="1440"/>
        </w:tabs>
        <w:ind w:left="1440" w:hanging="1440"/>
      </w:pPr>
      <w:rPr>
        <w:rFonts w:hint="default"/>
      </w:rPr>
    </w:lvl>
    <w:lvl w:ilvl="8">
      <w:start w:val="1"/>
      <w:numFmt w:val="decimal"/>
      <w:lvlText w:val="5%1.%2.%3.%4.%5.%6.%7.%8.%9"/>
      <w:lvlJc w:val="left"/>
      <w:pPr>
        <w:tabs>
          <w:tab w:val="num" w:pos="1584"/>
        </w:tabs>
        <w:ind w:left="1584" w:hanging="1584"/>
      </w:pPr>
      <w:rPr>
        <w:rFonts w:hint="default"/>
      </w:rPr>
    </w:lvl>
  </w:abstractNum>
  <w:abstractNum w:abstractNumId="9" w15:restartNumberingAfterBreak="0">
    <w:nsid w:val="52A43310"/>
    <w:multiLevelType w:val="hybridMultilevel"/>
    <w:tmpl w:val="483A3000"/>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84804"/>
    <w:multiLevelType w:val="hybridMultilevel"/>
    <w:tmpl w:val="4ECC75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0A1DD9"/>
    <w:multiLevelType w:val="hybridMultilevel"/>
    <w:tmpl w:val="AE20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A5B3F"/>
    <w:multiLevelType w:val="hybridMultilevel"/>
    <w:tmpl w:val="9CF2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082383">
    <w:abstractNumId w:val="8"/>
  </w:num>
  <w:num w:numId="2" w16cid:durableId="1796094603">
    <w:abstractNumId w:val="8"/>
  </w:num>
  <w:num w:numId="3" w16cid:durableId="1831829316">
    <w:abstractNumId w:val="8"/>
  </w:num>
  <w:num w:numId="4" w16cid:durableId="426584742">
    <w:abstractNumId w:val="7"/>
  </w:num>
  <w:num w:numId="5" w16cid:durableId="1932274432">
    <w:abstractNumId w:val="0"/>
  </w:num>
  <w:num w:numId="6" w16cid:durableId="782767590">
    <w:abstractNumId w:val="9"/>
  </w:num>
  <w:num w:numId="7" w16cid:durableId="986010886">
    <w:abstractNumId w:val="3"/>
  </w:num>
  <w:num w:numId="8" w16cid:durableId="282079609">
    <w:abstractNumId w:val="4"/>
  </w:num>
  <w:num w:numId="9" w16cid:durableId="1203860924">
    <w:abstractNumId w:val="2"/>
  </w:num>
  <w:num w:numId="10" w16cid:durableId="23530608">
    <w:abstractNumId w:val="10"/>
  </w:num>
  <w:num w:numId="11" w16cid:durableId="1671369414">
    <w:abstractNumId w:val="11"/>
  </w:num>
  <w:num w:numId="12" w16cid:durableId="172382499">
    <w:abstractNumId w:val="6"/>
  </w:num>
  <w:num w:numId="13" w16cid:durableId="175729078">
    <w:abstractNumId w:val="1"/>
  </w:num>
  <w:num w:numId="14" w16cid:durableId="1640721033">
    <w:abstractNumId w:val="12"/>
  </w:num>
  <w:num w:numId="15" w16cid:durableId="19914465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ds, Logan">
    <w15:presenceInfo w15:providerId="AD" w15:userId="S::Leeds.Logan@wseinc.com::6e6421d4-70ab-4f17-bd98-c943d480fe0c"/>
  </w15:person>
  <w15:person w15:author="Sweet, Ashley">
    <w15:presenceInfo w15:providerId="AD" w15:userId="S::Sweet.Ashley@wseinc.com::5f184981-d747-483c-bff3-23a76c378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0MLcwMjO1NDcxNTZQ0lEKTi0uzszPAykwrQUAzGXJeiwAAAA="/>
  </w:docVars>
  <w:rsids>
    <w:rsidRoot w:val="007E018C"/>
    <w:rsid w:val="00000B4F"/>
    <w:rsid w:val="00004A07"/>
    <w:rsid w:val="00004B79"/>
    <w:rsid w:val="000150AC"/>
    <w:rsid w:val="0002460A"/>
    <w:rsid w:val="00026514"/>
    <w:rsid w:val="000306CA"/>
    <w:rsid w:val="00033A49"/>
    <w:rsid w:val="000367DB"/>
    <w:rsid w:val="0003777D"/>
    <w:rsid w:val="0004177A"/>
    <w:rsid w:val="0004449F"/>
    <w:rsid w:val="000534CB"/>
    <w:rsid w:val="00060EF1"/>
    <w:rsid w:val="000734A1"/>
    <w:rsid w:val="000747C3"/>
    <w:rsid w:val="00075865"/>
    <w:rsid w:val="00080748"/>
    <w:rsid w:val="00087563"/>
    <w:rsid w:val="00096310"/>
    <w:rsid w:val="000A224D"/>
    <w:rsid w:val="000B5E4B"/>
    <w:rsid w:val="000B7839"/>
    <w:rsid w:val="000D24B7"/>
    <w:rsid w:val="000E3229"/>
    <w:rsid w:val="0011714C"/>
    <w:rsid w:val="0013613A"/>
    <w:rsid w:val="001401FD"/>
    <w:rsid w:val="00141090"/>
    <w:rsid w:val="00150A86"/>
    <w:rsid w:val="00154B67"/>
    <w:rsid w:val="00161577"/>
    <w:rsid w:val="00167594"/>
    <w:rsid w:val="0019776C"/>
    <w:rsid w:val="00197C72"/>
    <w:rsid w:val="001B3F00"/>
    <w:rsid w:val="001B62F8"/>
    <w:rsid w:val="001D05AC"/>
    <w:rsid w:val="001D3B5E"/>
    <w:rsid w:val="001D46E0"/>
    <w:rsid w:val="001D7F46"/>
    <w:rsid w:val="001E2347"/>
    <w:rsid w:val="001F15F6"/>
    <w:rsid w:val="00211F4D"/>
    <w:rsid w:val="0022730D"/>
    <w:rsid w:val="002273BD"/>
    <w:rsid w:val="00237C3B"/>
    <w:rsid w:val="00252A2A"/>
    <w:rsid w:val="00257C0D"/>
    <w:rsid w:val="00263120"/>
    <w:rsid w:val="0026475D"/>
    <w:rsid w:val="00265DA9"/>
    <w:rsid w:val="002735A9"/>
    <w:rsid w:val="00297100"/>
    <w:rsid w:val="002A1619"/>
    <w:rsid w:val="002A51B7"/>
    <w:rsid w:val="002A5694"/>
    <w:rsid w:val="002A740A"/>
    <w:rsid w:val="002C4868"/>
    <w:rsid w:val="002C5BFF"/>
    <w:rsid w:val="002E0A55"/>
    <w:rsid w:val="002F265F"/>
    <w:rsid w:val="002F772A"/>
    <w:rsid w:val="00302168"/>
    <w:rsid w:val="003032B1"/>
    <w:rsid w:val="0031652A"/>
    <w:rsid w:val="00317A93"/>
    <w:rsid w:val="00334AA6"/>
    <w:rsid w:val="00337717"/>
    <w:rsid w:val="00337E51"/>
    <w:rsid w:val="00340FC1"/>
    <w:rsid w:val="003431C6"/>
    <w:rsid w:val="00350FE3"/>
    <w:rsid w:val="003520D4"/>
    <w:rsid w:val="0037321E"/>
    <w:rsid w:val="0037438C"/>
    <w:rsid w:val="00377CDF"/>
    <w:rsid w:val="00380418"/>
    <w:rsid w:val="003A53C8"/>
    <w:rsid w:val="003A6804"/>
    <w:rsid w:val="003A794B"/>
    <w:rsid w:val="003B29D9"/>
    <w:rsid w:val="003C6EF7"/>
    <w:rsid w:val="00414251"/>
    <w:rsid w:val="00420554"/>
    <w:rsid w:val="00421705"/>
    <w:rsid w:val="00436D12"/>
    <w:rsid w:val="004406C8"/>
    <w:rsid w:val="00440861"/>
    <w:rsid w:val="0044117F"/>
    <w:rsid w:val="0044149F"/>
    <w:rsid w:val="004423DE"/>
    <w:rsid w:val="004446EF"/>
    <w:rsid w:val="004514FC"/>
    <w:rsid w:val="00471707"/>
    <w:rsid w:val="00485F09"/>
    <w:rsid w:val="00486EC8"/>
    <w:rsid w:val="004A6EEE"/>
    <w:rsid w:val="004C77F8"/>
    <w:rsid w:val="004D2922"/>
    <w:rsid w:val="004E22A9"/>
    <w:rsid w:val="004E78F7"/>
    <w:rsid w:val="004F324F"/>
    <w:rsid w:val="004F5D8A"/>
    <w:rsid w:val="0050196D"/>
    <w:rsid w:val="0050677D"/>
    <w:rsid w:val="00514429"/>
    <w:rsid w:val="00515DAB"/>
    <w:rsid w:val="00520EFD"/>
    <w:rsid w:val="00530F00"/>
    <w:rsid w:val="005431A2"/>
    <w:rsid w:val="00551E7A"/>
    <w:rsid w:val="005542B3"/>
    <w:rsid w:val="00557791"/>
    <w:rsid w:val="00562231"/>
    <w:rsid w:val="00562A08"/>
    <w:rsid w:val="00562D11"/>
    <w:rsid w:val="00567F74"/>
    <w:rsid w:val="0057190B"/>
    <w:rsid w:val="00581B90"/>
    <w:rsid w:val="00583183"/>
    <w:rsid w:val="00585AE8"/>
    <w:rsid w:val="00595E6B"/>
    <w:rsid w:val="005A2037"/>
    <w:rsid w:val="005A3B85"/>
    <w:rsid w:val="005A5DC7"/>
    <w:rsid w:val="005A7E08"/>
    <w:rsid w:val="005B7041"/>
    <w:rsid w:val="005C3AC2"/>
    <w:rsid w:val="005C4521"/>
    <w:rsid w:val="005D2065"/>
    <w:rsid w:val="005D2813"/>
    <w:rsid w:val="005D4760"/>
    <w:rsid w:val="005F5765"/>
    <w:rsid w:val="00603BB1"/>
    <w:rsid w:val="0062793F"/>
    <w:rsid w:val="006303E4"/>
    <w:rsid w:val="00636361"/>
    <w:rsid w:val="00637860"/>
    <w:rsid w:val="006649CF"/>
    <w:rsid w:val="006656F7"/>
    <w:rsid w:val="00667C28"/>
    <w:rsid w:val="00677B6C"/>
    <w:rsid w:val="006814C3"/>
    <w:rsid w:val="006979A1"/>
    <w:rsid w:val="006A24BA"/>
    <w:rsid w:val="006A5AF4"/>
    <w:rsid w:val="006A78A9"/>
    <w:rsid w:val="006E2271"/>
    <w:rsid w:val="006E541D"/>
    <w:rsid w:val="006E6414"/>
    <w:rsid w:val="006E6EC8"/>
    <w:rsid w:val="00715473"/>
    <w:rsid w:val="007211AE"/>
    <w:rsid w:val="007279D5"/>
    <w:rsid w:val="00735543"/>
    <w:rsid w:val="007369E9"/>
    <w:rsid w:val="00736B04"/>
    <w:rsid w:val="007714BE"/>
    <w:rsid w:val="00775B5F"/>
    <w:rsid w:val="007760D8"/>
    <w:rsid w:val="00794CEB"/>
    <w:rsid w:val="007A0AE8"/>
    <w:rsid w:val="007A6871"/>
    <w:rsid w:val="007B2CA7"/>
    <w:rsid w:val="007B36ED"/>
    <w:rsid w:val="007C2DFA"/>
    <w:rsid w:val="007C6218"/>
    <w:rsid w:val="007E018C"/>
    <w:rsid w:val="007F1198"/>
    <w:rsid w:val="007F3989"/>
    <w:rsid w:val="007F4152"/>
    <w:rsid w:val="00812D01"/>
    <w:rsid w:val="00827855"/>
    <w:rsid w:val="0083299A"/>
    <w:rsid w:val="00841E5A"/>
    <w:rsid w:val="0084371B"/>
    <w:rsid w:val="00855831"/>
    <w:rsid w:val="00856B6D"/>
    <w:rsid w:val="0085750F"/>
    <w:rsid w:val="00870E98"/>
    <w:rsid w:val="008838F3"/>
    <w:rsid w:val="00885814"/>
    <w:rsid w:val="00895621"/>
    <w:rsid w:val="008A2D95"/>
    <w:rsid w:val="008B230E"/>
    <w:rsid w:val="008D60E7"/>
    <w:rsid w:val="008E42DA"/>
    <w:rsid w:val="008F06B9"/>
    <w:rsid w:val="008F3DFF"/>
    <w:rsid w:val="008F7D5F"/>
    <w:rsid w:val="00906A3A"/>
    <w:rsid w:val="00910F8A"/>
    <w:rsid w:val="009144F5"/>
    <w:rsid w:val="00914FD6"/>
    <w:rsid w:val="00920C69"/>
    <w:rsid w:val="00922B96"/>
    <w:rsid w:val="00924A57"/>
    <w:rsid w:val="009274B9"/>
    <w:rsid w:val="009310CE"/>
    <w:rsid w:val="00934FF1"/>
    <w:rsid w:val="0094636F"/>
    <w:rsid w:val="00950B3E"/>
    <w:rsid w:val="00957ABE"/>
    <w:rsid w:val="00962D21"/>
    <w:rsid w:val="00964D79"/>
    <w:rsid w:val="009743B9"/>
    <w:rsid w:val="00994E97"/>
    <w:rsid w:val="009A2A74"/>
    <w:rsid w:val="009B02CF"/>
    <w:rsid w:val="009B03BB"/>
    <w:rsid w:val="009C5037"/>
    <w:rsid w:val="009E0A2F"/>
    <w:rsid w:val="009F0773"/>
    <w:rsid w:val="009F2DCB"/>
    <w:rsid w:val="009F6225"/>
    <w:rsid w:val="00A04D2D"/>
    <w:rsid w:val="00A17FCE"/>
    <w:rsid w:val="00A23472"/>
    <w:rsid w:val="00A24962"/>
    <w:rsid w:val="00A76B91"/>
    <w:rsid w:val="00A965DD"/>
    <w:rsid w:val="00AC26C5"/>
    <w:rsid w:val="00AC271F"/>
    <w:rsid w:val="00AD2E67"/>
    <w:rsid w:val="00AD6EB0"/>
    <w:rsid w:val="00AD765C"/>
    <w:rsid w:val="00AE4F17"/>
    <w:rsid w:val="00AF24D7"/>
    <w:rsid w:val="00B055CC"/>
    <w:rsid w:val="00B12149"/>
    <w:rsid w:val="00B15043"/>
    <w:rsid w:val="00B208FC"/>
    <w:rsid w:val="00B3214E"/>
    <w:rsid w:val="00B55CD9"/>
    <w:rsid w:val="00B6550D"/>
    <w:rsid w:val="00B83F17"/>
    <w:rsid w:val="00B946C4"/>
    <w:rsid w:val="00BB41FB"/>
    <w:rsid w:val="00BB4522"/>
    <w:rsid w:val="00BB686A"/>
    <w:rsid w:val="00BD4711"/>
    <w:rsid w:val="00BD5968"/>
    <w:rsid w:val="00BE4C61"/>
    <w:rsid w:val="00BF4AB0"/>
    <w:rsid w:val="00C04158"/>
    <w:rsid w:val="00C15182"/>
    <w:rsid w:val="00C22DD0"/>
    <w:rsid w:val="00C27B7F"/>
    <w:rsid w:val="00C34200"/>
    <w:rsid w:val="00C37A3A"/>
    <w:rsid w:val="00C64023"/>
    <w:rsid w:val="00C94A6B"/>
    <w:rsid w:val="00C97DEE"/>
    <w:rsid w:val="00CA4B3D"/>
    <w:rsid w:val="00CA69BC"/>
    <w:rsid w:val="00CB40DE"/>
    <w:rsid w:val="00CB466A"/>
    <w:rsid w:val="00CC6936"/>
    <w:rsid w:val="00CD7EE2"/>
    <w:rsid w:val="00CE4782"/>
    <w:rsid w:val="00CF2E13"/>
    <w:rsid w:val="00CF4BC5"/>
    <w:rsid w:val="00D010FE"/>
    <w:rsid w:val="00D135B9"/>
    <w:rsid w:val="00D21E86"/>
    <w:rsid w:val="00D37F51"/>
    <w:rsid w:val="00D41DDD"/>
    <w:rsid w:val="00D620FF"/>
    <w:rsid w:val="00D67C2B"/>
    <w:rsid w:val="00D71890"/>
    <w:rsid w:val="00D759DF"/>
    <w:rsid w:val="00D86085"/>
    <w:rsid w:val="00D91941"/>
    <w:rsid w:val="00DA56C1"/>
    <w:rsid w:val="00DB30E6"/>
    <w:rsid w:val="00DB36E9"/>
    <w:rsid w:val="00DB50A3"/>
    <w:rsid w:val="00DD7947"/>
    <w:rsid w:val="00E0101D"/>
    <w:rsid w:val="00E0134E"/>
    <w:rsid w:val="00E01461"/>
    <w:rsid w:val="00E057CB"/>
    <w:rsid w:val="00E05E5C"/>
    <w:rsid w:val="00E10615"/>
    <w:rsid w:val="00E1462E"/>
    <w:rsid w:val="00E14EF1"/>
    <w:rsid w:val="00E24842"/>
    <w:rsid w:val="00E34F16"/>
    <w:rsid w:val="00E35F10"/>
    <w:rsid w:val="00E371B4"/>
    <w:rsid w:val="00E3749C"/>
    <w:rsid w:val="00E376B3"/>
    <w:rsid w:val="00E410EB"/>
    <w:rsid w:val="00E50511"/>
    <w:rsid w:val="00E54E16"/>
    <w:rsid w:val="00E74315"/>
    <w:rsid w:val="00E74E11"/>
    <w:rsid w:val="00E94E39"/>
    <w:rsid w:val="00EA3A65"/>
    <w:rsid w:val="00EB2227"/>
    <w:rsid w:val="00EB7F5E"/>
    <w:rsid w:val="00EC00FA"/>
    <w:rsid w:val="00ED6235"/>
    <w:rsid w:val="00EE2302"/>
    <w:rsid w:val="00EE3F92"/>
    <w:rsid w:val="00EF3F0F"/>
    <w:rsid w:val="00F02F79"/>
    <w:rsid w:val="00F07453"/>
    <w:rsid w:val="00F10B70"/>
    <w:rsid w:val="00F55CE4"/>
    <w:rsid w:val="00F61791"/>
    <w:rsid w:val="00F63EAE"/>
    <w:rsid w:val="00F823D3"/>
    <w:rsid w:val="00F83152"/>
    <w:rsid w:val="00F86F7F"/>
    <w:rsid w:val="00F90052"/>
    <w:rsid w:val="00FA193D"/>
    <w:rsid w:val="00FB03AB"/>
    <w:rsid w:val="00FB3581"/>
    <w:rsid w:val="00FD19A4"/>
    <w:rsid w:val="00FD4EBB"/>
    <w:rsid w:val="00FE05E7"/>
    <w:rsid w:val="00FE705B"/>
    <w:rsid w:val="00FF3868"/>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F84913C"/>
  <w15:chartTrackingRefBased/>
  <w15:docId w15:val="{1A92AC93-3F51-4F43-803A-4336A1EB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CB"/>
    <w:rPr>
      <w:rFonts w:ascii="Swis721 Lt BT" w:hAnsi="Swis721 Lt BT"/>
    </w:rPr>
  </w:style>
  <w:style w:type="paragraph" w:styleId="Heading1">
    <w:name w:val="heading 1"/>
    <w:aliases w:val="Chapter"/>
    <w:basedOn w:val="Normal"/>
    <w:next w:val="Normal"/>
    <w:link w:val="Heading1Char"/>
    <w:autoRedefine/>
    <w:uiPriority w:val="9"/>
    <w:qFormat/>
    <w:rsid w:val="00E376B3"/>
    <w:pPr>
      <w:keepNext/>
      <w:numPr>
        <w:numId w:val="15"/>
      </w:numPr>
      <w:jc w:val="center"/>
      <w:outlineLvl w:val="0"/>
    </w:pPr>
    <w:rPr>
      <w:rFonts w:eastAsia="Times New Roman" w:cs="Times New Roman"/>
      <w:b/>
      <w:caps/>
      <w:sz w:val="24"/>
      <w:szCs w:val="20"/>
    </w:rPr>
  </w:style>
  <w:style w:type="paragraph" w:styleId="Heading2">
    <w:name w:val="heading 2"/>
    <w:basedOn w:val="Normal"/>
    <w:next w:val="Normal"/>
    <w:link w:val="Heading2Char"/>
    <w:autoRedefine/>
    <w:qFormat/>
    <w:rsid w:val="000747C3"/>
    <w:pPr>
      <w:keepNext/>
      <w:numPr>
        <w:ilvl w:val="1"/>
        <w:numId w:val="15"/>
      </w:numPr>
      <w:spacing w:before="240" w:after="60" w:line="240" w:lineRule="auto"/>
      <w:jc w:val="both"/>
      <w:outlineLvl w:val="1"/>
    </w:pPr>
    <w:rPr>
      <w:rFonts w:eastAsia="Times New Roman" w:cs="Arial"/>
      <w:b/>
    </w:rPr>
  </w:style>
  <w:style w:type="paragraph" w:styleId="Heading3">
    <w:name w:val="heading 3"/>
    <w:aliases w:val="Sub-Heading"/>
    <w:basedOn w:val="Normal"/>
    <w:next w:val="Normal"/>
    <w:link w:val="Heading3Char"/>
    <w:autoRedefine/>
    <w:qFormat/>
    <w:rsid w:val="000747C3"/>
    <w:pPr>
      <w:keepNext/>
      <w:numPr>
        <w:ilvl w:val="2"/>
        <w:numId w:val="15"/>
      </w:numPr>
      <w:spacing w:before="60" w:after="60" w:line="240" w:lineRule="auto"/>
      <w:jc w:val="both"/>
      <w:outlineLvl w:val="2"/>
    </w:pPr>
    <w:rPr>
      <w:rFonts w:eastAsia="Times New Roman" w:cs="Arial"/>
      <w:i/>
      <w:szCs w:val="20"/>
    </w:rPr>
  </w:style>
  <w:style w:type="paragraph" w:styleId="Heading4">
    <w:name w:val="heading 4"/>
    <w:basedOn w:val="Normal"/>
    <w:next w:val="Normal"/>
    <w:link w:val="Heading4Char"/>
    <w:uiPriority w:val="9"/>
    <w:unhideWhenUsed/>
    <w:qFormat/>
    <w:rsid w:val="003A794B"/>
    <w:pPr>
      <w:keepNext/>
      <w:spacing w:after="0" w:line="240" w:lineRule="auto"/>
      <w:outlineLvl w:val="3"/>
    </w:pPr>
    <w:rPr>
      <w:b/>
      <w:bCs/>
      <w:sz w:val="20"/>
      <w:szCs w:val="20"/>
    </w:rPr>
  </w:style>
  <w:style w:type="paragraph" w:styleId="Heading5">
    <w:name w:val="heading 5"/>
    <w:basedOn w:val="Normal"/>
    <w:next w:val="Normal"/>
    <w:link w:val="Heading5Char"/>
    <w:uiPriority w:val="9"/>
    <w:unhideWhenUsed/>
    <w:qFormat/>
    <w:rsid w:val="00735543"/>
    <w:pPr>
      <w:keepNext/>
      <w:pBdr>
        <w:top w:val="single" w:sz="4" w:space="1" w:color="auto"/>
        <w:left w:val="single" w:sz="4" w:space="4" w:color="auto"/>
        <w:bottom w:val="single" w:sz="4" w:space="1" w:color="auto"/>
        <w:right w:val="single" w:sz="4" w:space="4" w:color="auto"/>
      </w:pBdr>
      <w:autoSpaceDE w:val="0"/>
      <w:autoSpaceDN w:val="0"/>
      <w:jc w:val="both"/>
      <w:outlineLvl w:val="4"/>
    </w:pPr>
    <w:rPr>
      <w:b/>
      <w:bCs/>
      <w:color w:val="343434"/>
    </w:rPr>
  </w:style>
  <w:style w:type="paragraph" w:styleId="Heading6">
    <w:name w:val="heading 6"/>
    <w:basedOn w:val="Normal"/>
    <w:next w:val="Normal"/>
    <w:link w:val="Heading6Char"/>
    <w:uiPriority w:val="9"/>
    <w:unhideWhenUsed/>
    <w:qFormat/>
    <w:rsid w:val="002F772A"/>
    <w:pPr>
      <w:keepNext/>
      <w:spacing w:after="0" w:line="240" w:lineRule="auto"/>
      <w:outlineLvl w:val="5"/>
    </w:pPr>
    <w:rPr>
      <w:b/>
      <w:bCs/>
      <w:color w:val="262626" w:themeColor="text1" w:themeTint="D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47C3"/>
    <w:rPr>
      <w:rFonts w:ascii="Swis721 Lt BT" w:eastAsia="Times New Roman" w:hAnsi="Swis721 Lt BT" w:cs="Arial"/>
      <w:b/>
    </w:rPr>
  </w:style>
  <w:style w:type="character" w:customStyle="1" w:styleId="Heading1Char">
    <w:name w:val="Heading 1 Char"/>
    <w:aliases w:val="Chapter Char"/>
    <w:basedOn w:val="DefaultParagraphFont"/>
    <w:link w:val="Heading1"/>
    <w:uiPriority w:val="9"/>
    <w:rsid w:val="00E376B3"/>
    <w:rPr>
      <w:rFonts w:ascii="Swis721 Lt BT" w:eastAsia="Times New Roman" w:hAnsi="Swis721 Lt BT" w:cs="Times New Roman"/>
      <w:b/>
      <w:caps/>
      <w:sz w:val="24"/>
      <w:szCs w:val="20"/>
    </w:rPr>
  </w:style>
  <w:style w:type="character" w:customStyle="1" w:styleId="Heading3Char">
    <w:name w:val="Heading 3 Char"/>
    <w:aliases w:val="Sub-Heading Char"/>
    <w:basedOn w:val="DefaultParagraphFont"/>
    <w:link w:val="Heading3"/>
    <w:rsid w:val="000747C3"/>
    <w:rPr>
      <w:rFonts w:ascii="Swis721 Lt BT" w:eastAsia="Times New Roman" w:hAnsi="Swis721 Lt BT" w:cs="Arial"/>
      <w:i/>
      <w:szCs w:val="20"/>
    </w:rPr>
  </w:style>
  <w:style w:type="paragraph" w:styleId="Header">
    <w:name w:val="header"/>
    <w:basedOn w:val="Normal"/>
    <w:link w:val="HeaderChar"/>
    <w:uiPriority w:val="99"/>
    <w:unhideWhenUsed/>
    <w:rsid w:val="007E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8C"/>
  </w:style>
  <w:style w:type="paragraph" w:styleId="Footer">
    <w:name w:val="footer"/>
    <w:basedOn w:val="Normal"/>
    <w:link w:val="FooterChar"/>
    <w:uiPriority w:val="99"/>
    <w:unhideWhenUsed/>
    <w:rsid w:val="007E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8C"/>
  </w:style>
  <w:style w:type="paragraph" w:styleId="NoSpacing">
    <w:name w:val="No Spacing"/>
    <w:uiPriority w:val="1"/>
    <w:qFormat/>
    <w:rsid w:val="00677B6C"/>
    <w:pPr>
      <w:spacing w:after="0" w:line="240" w:lineRule="auto"/>
    </w:pPr>
    <w:rPr>
      <w:rFonts w:ascii="Swis721 Lt BT" w:hAnsi="Swis721 Lt BT"/>
    </w:rPr>
  </w:style>
  <w:style w:type="character" w:styleId="CommentReference">
    <w:name w:val="annotation reference"/>
    <w:basedOn w:val="DefaultParagraphFont"/>
    <w:uiPriority w:val="99"/>
    <w:semiHidden/>
    <w:unhideWhenUsed/>
    <w:rsid w:val="00677B6C"/>
    <w:rPr>
      <w:sz w:val="16"/>
      <w:szCs w:val="16"/>
    </w:rPr>
  </w:style>
  <w:style w:type="paragraph" w:styleId="CommentText">
    <w:name w:val="annotation text"/>
    <w:basedOn w:val="Normal"/>
    <w:link w:val="CommentTextChar"/>
    <w:uiPriority w:val="99"/>
    <w:unhideWhenUsed/>
    <w:rsid w:val="00677B6C"/>
    <w:pPr>
      <w:spacing w:line="240" w:lineRule="auto"/>
    </w:pPr>
    <w:rPr>
      <w:sz w:val="20"/>
      <w:szCs w:val="20"/>
    </w:rPr>
  </w:style>
  <w:style w:type="character" w:customStyle="1" w:styleId="CommentTextChar">
    <w:name w:val="Comment Text Char"/>
    <w:basedOn w:val="DefaultParagraphFont"/>
    <w:link w:val="CommentText"/>
    <w:uiPriority w:val="99"/>
    <w:rsid w:val="00677B6C"/>
    <w:rPr>
      <w:rFonts w:ascii="Swis721 Lt BT" w:hAnsi="Swis721 Lt BT"/>
      <w:sz w:val="20"/>
      <w:szCs w:val="20"/>
    </w:rPr>
  </w:style>
  <w:style w:type="table" w:customStyle="1" w:styleId="TableGrid1">
    <w:name w:val="Table Grid1"/>
    <w:basedOn w:val="TableNormal"/>
    <w:next w:val="TableGrid"/>
    <w:uiPriority w:val="39"/>
    <w:rsid w:val="0067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22730D"/>
    <w:rPr>
      <w:b/>
      <w:bCs/>
    </w:rPr>
  </w:style>
  <w:style w:type="character" w:customStyle="1" w:styleId="CommentSubjectChar">
    <w:name w:val="Comment Subject Char"/>
    <w:basedOn w:val="CommentTextChar"/>
    <w:link w:val="CommentSubject"/>
    <w:uiPriority w:val="99"/>
    <w:rsid w:val="0022730D"/>
    <w:rPr>
      <w:rFonts w:ascii="Swis721 Lt BT" w:hAnsi="Swis721 Lt BT"/>
      <w:b/>
      <w:bCs/>
      <w:sz w:val="20"/>
      <w:szCs w:val="20"/>
    </w:rPr>
  </w:style>
  <w:style w:type="character" w:styleId="Hyperlink">
    <w:name w:val="Hyperlink"/>
    <w:basedOn w:val="DefaultParagraphFont"/>
    <w:uiPriority w:val="99"/>
    <w:unhideWhenUsed/>
    <w:rsid w:val="005C3AC2"/>
    <w:rPr>
      <w:color w:val="0563C1" w:themeColor="hyperlink"/>
      <w:u w:val="single"/>
    </w:rPr>
  </w:style>
  <w:style w:type="character" w:styleId="UnresolvedMention">
    <w:name w:val="Unresolved Mention"/>
    <w:basedOn w:val="DefaultParagraphFont"/>
    <w:uiPriority w:val="99"/>
    <w:semiHidden/>
    <w:unhideWhenUsed/>
    <w:rsid w:val="005C3AC2"/>
    <w:rPr>
      <w:color w:val="605E5C"/>
      <w:shd w:val="clear" w:color="auto" w:fill="E1DFDD"/>
    </w:rPr>
  </w:style>
  <w:style w:type="paragraph" w:styleId="Bibliography">
    <w:name w:val="Bibliography"/>
    <w:basedOn w:val="Normal"/>
    <w:next w:val="Normal"/>
    <w:uiPriority w:val="37"/>
    <w:unhideWhenUsed/>
    <w:rsid w:val="00BB4522"/>
  </w:style>
  <w:style w:type="paragraph" w:styleId="Revision">
    <w:name w:val="Revision"/>
    <w:hidden/>
    <w:uiPriority w:val="99"/>
    <w:semiHidden/>
    <w:rsid w:val="005B7041"/>
    <w:pPr>
      <w:spacing w:after="0" w:line="240" w:lineRule="auto"/>
    </w:pPr>
    <w:rPr>
      <w:rFonts w:ascii="Swis721 Lt BT" w:hAnsi="Swis721 Lt BT"/>
    </w:rPr>
  </w:style>
  <w:style w:type="paragraph" w:styleId="ListParagraph">
    <w:name w:val="List Paragraph"/>
    <w:basedOn w:val="Normal"/>
    <w:uiPriority w:val="34"/>
    <w:qFormat/>
    <w:rsid w:val="00581B90"/>
    <w:pPr>
      <w:ind w:left="720"/>
      <w:contextualSpacing/>
    </w:pPr>
  </w:style>
  <w:style w:type="paragraph" w:styleId="BodyText">
    <w:name w:val="Body Text"/>
    <w:basedOn w:val="Normal"/>
    <w:link w:val="BodyTextChar"/>
    <w:rsid w:val="001F15F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15F6"/>
    <w:rPr>
      <w:rFonts w:ascii="Times New Roman" w:eastAsia="Times New Roman" w:hAnsi="Times New Roman" w:cs="Times New Roman"/>
      <w:sz w:val="24"/>
      <w:szCs w:val="20"/>
    </w:rPr>
  </w:style>
  <w:style w:type="character" w:customStyle="1" w:styleId="cf01">
    <w:name w:val="cf01"/>
    <w:basedOn w:val="DefaultParagraphFont"/>
    <w:rsid w:val="00E10615"/>
    <w:rPr>
      <w:rFonts w:ascii="Segoe UI" w:hAnsi="Segoe UI" w:cs="Segoe UI" w:hint="default"/>
      <w:sz w:val="18"/>
      <w:szCs w:val="18"/>
    </w:rPr>
  </w:style>
  <w:style w:type="character" w:styleId="Emphasis">
    <w:name w:val="Emphasis"/>
    <w:basedOn w:val="DefaultParagraphFont"/>
    <w:uiPriority w:val="20"/>
    <w:qFormat/>
    <w:rsid w:val="006814C3"/>
    <w:rPr>
      <w:i/>
      <w:iCs/>
    </w:rPr>
  </w:style>
  <w:style w:type="character" w:customStyle="1" w:styleId="Heading4Char">
    <w:name w:val="Heading 4 Char"/>
    <w:basedOn w:val="DefaultParagraphFont"/>
    <w:link w:val="Heading4"/>
    <w:uiPriority w:val="9"/>
    <w:rsid w:val="003A794B"/>
    <w:rPr>
      <w:rFonts w:ascii="Swis721 Lt BT" w:hAnsi="Swis721 Lt BT"/>
      <w:b/>
      <w:bCs/>
      <w:sz w:val="20"/>
      <w:szCs w:val="20"/>
    </w:rPr>
  </w:style>
  <w:style w:type="paragraph" w:styleId="BodyText2">
    <w:name w:val="Body Text 2"/>
    <w:basedOn w:val="Normal"/>
    <w:link w:val="BodyText2Char"/>
    <w:uiPriority w:val="99"/>
    <w:unhideWhenUsed/>
    <w:rsid w:val="00735543"/>
    <w:pPr>
      <w:pBdr>
        <w:top w:val="single" w:sz="4" w:space="1" w:color="auto"/>
        <w:left w:val="single" w:sz="4" w:space="4" w:color="auto"/>
        <w:bottom w:val="single" w:sz="4" w:space="1" w:color="auto"/>
        <w:right w:val="single" w:sz="4" w:space="4" w:color="auto"/>
      </w:pBdr>
      <w:autoSpaceDE w:val="0"/>
      <w:autoSpaceDN w:val="0"/>
      <w:jc w:val="both"/>
    </w:pPr>
    <w:rPr>
      <w:color w:val="343434"/>
    </w:rPr>
  </w:style>
  <w:style w:type="character" w:customStyle="1" w:styleId="BodyText2Char">
    <w:name w:val="Body Text 2 Char"/>
    <w:basedOn w:val="DefaultParagraphFont"/>
    <w:link w:val="BodyText2"/>
    <w:uiPriority w:val="99"/>
    <w:rsid w:val="00735543"/>
    <w:rPr>
      <w:rFonts w:ascii="Swis721 Lt BT" w:hAnsi="Swis721 Lt BT"/>
      <w:color w:val="343434"/>
    </w:rPr>
  </w:style>
  <w:style w:type="character" w:customStyle="1" w:styleId="Heading5Char">
    <w:name w:val="Heading 5 Char"/>
    <w:basedOn w:val="DefaultParagraphFont"/>
    <w:link w:val="Heading5"/>
    <w:uiPriority w:val="9"/>
    <w:rsid w:val="00735543"/>
    <w:rPr>
      <w:rFonts w:ascii="Swis721 Lt BT" w:hAnsi="Swis721 Lt BT"/>
      <w:b/>
      <w:bCs/>
      <w:color w:val="343434"/>
    </w:rPr>
  </w:style>
  <w:style w:type="paragraph" w:customStyle="1" w:styleId="pf0">
    <w:name w:val="pf0"/>
    <w:basedOn w:val="Normal"/>
    <w:rsid w:val="00927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2F772A"/>
    <w:rPr>
      <w:rFonts w:ascii="Swis721 Lt BT" w:hAnsi="Swis721 Lt BT"/>
      <w:b/>
      <w:bCs/>
      <w:color w:val="262626" w:themeColor="text1" w:themeTint="D9"/>
      <w:sz w:val="20"/>
      <w:szCs w:val="20"/>
    </w:rPr>
  </w:style>
  <w:style w:type="paragraph" w:customStyle="1" w:styleId="Heading">
    <w:name w:val="Heading"/>
    <w:basedOn w:val="Normal"/>
    <w:link w:val="HeadingChar"/>
    <w:qFormat/>
    <w:rsid w:val="000747C3"/>
    <w:pPr>
      <w:keepNext/>
      <w:numPr>
        <w:ilvl w:val="1"/>
        <w:numId w:val="1"/>
      </w:numPr>
      <w:spacing w:before="60" w:after="60" w:line="240" w:lineRule="auto"/>
      <w:jc w:val="both"/>
      <w:outlineLvl w:val="1"/>
    </w:pPr>
    <w:rPr>
      <w:b/>
    </w:rPr>
  </w:style>
  <w:style w:type="character" w:customStyle="1" w:styleId="HeadingChar">
    <w:name w:val="Heading Char"/>
    <w:basedOn w:val="DefaultParagraphFont"/>
    <w:link w:val="Heading"/>
    <w:rsid w:val="000747C3"/>
    <w:rPr>
      <w:rFonts w:ascii="Swis721 Lt BT" w:hAnsi="Swis721 Lt BT"/>
      <w:b/>
    </w:rPr>
  </w:style>
  <w:style w:type="paragraph" w:customStyle="1" w:styleId="Sub-Subheading">
    <w:name w:val="Sub-Subheading"/>
    <w:basedOn w:val="Normal"/>
    <w:link w:val="Sub-SubheadingChar"/>
    <w:qFormat/>
    <w:rsid w:val="000747C3"/>
    <w:pPr>
      <w:spacing w:before="160" w:after="0"/>
      <w:jc w:val="both"/>
    </w:pPr>
    <w:rPr>
      <w:b/>
      <w:bCs/>
      <w:color w:val="4472C4" w:themeColor="accent1"/>
    </w:rPr>
  </w:style>
  <w:style w:type="character" w:customStyle="1" w:styleId="contentpasted0">
    <w:name w:val="contentpasted0"/>
    <w:basedOn w:val="DefaultParagraphFont"/>
    <w:rsid w:val="006649CF"/>
  </w:style>
  <w:style w:type="character" w:customStyle="1" w:styleId="Sub-SubheadingChar">
    <w:name w:val="Sub-Subheading Char"/>
    <w:basedOn w:val="DefaultParagraphFont"/>
    <w:link w:val="Sub-Subheading"/>
    <w:rsid w:val="000747C3"/>
    <w:rPr>
      <w:rFonts w:ascii="Swis721 Lt BT" w:hAnsi="Swis721 Lt BT"/>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4805">
      <w:bodyDiv w:val="1"/>
      <w:marLeft w:val="0"/>
      <w:marRight w:val="0"/>
      <w:marTop w:val="0"/>
      <w:marBottom w:val="0"/>
      <w:divBdr>
        <w:top w:val="none" w:sz="0" w:space="0" w:color="auto"/>
        <w:left w:val="none" w:sz="0" w:space="0" w:color="auto"/>
        <w:bottom w:val="none" w:sz="0" w:space="0" w:color="auto"/>
        <w:right w:val="none" w:sz="0" w:space="0" w:color="auto"/>
      </w:divBdr>
    </w:div>
    <w:div w:id="23140929">
      <w:bodyDiv w:val="1"/>
      <w:marLeft w:val="0"/>
      <w:marRight w:val="0"/>
      <w:marTop w:val="0"/>
      <w:marBottom w:val="0"/>
      <w:divBdr>
        <w:top w:val="none" w:sz="0" w:space="0" w:color="auto"/>
        <w:left w:val="none" w:sz="0" w:space="0" w:color="auto"/>
        <w:bottom w:val="none" w:sz="0" w:space="0" w:color="auto"/>
        <w:right w:val="none" w:sz="0" w:space="0" w:color="auto"/>
      </w:divBdr>
    </w:div>
    <w:div w:id="36899646">
      <w:bodyDiv w:val="1"/>
      <w:marLeft w:val="0"/>
      <w:marRight w:val="0"/>
      <w:marTop w:val="0"/>
      <w:marBottom w:val="0"/>
      <w:divBdr>
        <w:top w:val="none" w:sz="0" w:space="0" w:color="auto"/>
        <w:left w:val="none" w:sz="0" w:space="0" w:color="auto"/>
        <w:bottom w:val="none" w:sz="0" w:space="0" w:color="auto"/>
        <w:right w:val="none" w:sz="0" w:space="0" w:color="auto"/>
      </w:divBdr>
    </w:div>
    <w:div w:id="109083070">
      <w:bodyDiv w:val="1"/>
      <w:marLeft w:val="0"/>
      <w:marRight w:val="0"/>
      <w:marTop w:val="0"/>
      <w:marBottom w:val="0"/>
      <w:divBdr>
        <w:top w:val="none" w:sz="0" w:space="0" w:color="auto"/>
        <w:left w:val="none" w:sz="0" w:space="0" w:color="auto"/>
        <w:bottom w:val="none" w:sz="0" w:space="0" w:color="auto"/>
        <w:right w:val="none" w:sz="0" w:space="0" w:color="auto"/>
      </w:divBdr>
    </w:div>
    <w:div w:id="111830722">
      <w:bodyDiv w:val="1"/>
      <w:marLeft w:val="0"/>
      <w:marRight w:val="0"/>
      <w:marTop w:val="0"/>
      <w:marBottom w:val="0"/>
      <w:divBdr>
        <w:top w:val="none" w:sz="0" w:space="0" w:color="auto"/>
        <w:left w:val="none" w:sz="0" w:space="0" w:color="auto"/>
        <w:bottom w:val="none" w:sz="0" w:space="0" w:color="auto"/>
        <w:right w:val="none" w:sz="0" w:space="0" w:color="auto"/>
      </w:divBdr>
    </w:div>
    <w:div w:id="150144536">
      <w:bodyDiv w:val="1"/>
      <w:marLeft w:val="0"/>
      <w:marRight w:val="0"/>
      <w:marTop w:val="0"/>
      <w:marBottom w:val="0"/>
      <w:divBdr>
        <w:top w:val="none" w:sz="0" w:space="0" w:color="auto"/>
        <w:left w:val="none" w:sz="0" w:space="0" w:color="auto"/>
        <w:bottom w:val="none" w:sz="0" w:space="0" w:color="auto"/>
        <w:right w:val="none" w:sz="0" w:space="0" w:color="auto"/>
      </w:divBdr>
    </w:div>
    <w:div w:id="166020554">
      <w:bodyDiv w:val="1"/>
      <w:marLeft w:val="0"/>
      <w:marRight w:val="0"/>
      <w:marTop w:val="0"/>
      <w:marBottom w:val="0"/>
      <w:divBdr>
        <w:top w:val="none" w:sz="0" w:space="0" w:color="auto"/>
        <w:left w:val="none" w:sz="0" w:space="0" w:color="auto"/>
        <w:bottom w:val="none" w:sz="0" w:space="0" w:color="auto"/>
        <w:right w:val="none" w:sz="0" w:space="0" w:color="auto"/>
      </w:divBdr>
    </w:div>
    <w:div w:id="209732185">
      <w:bodyDiv w:val="1"/>
      <w:marLeft w:val="0"/>
      <w:marRight w:val="0"/>
      <w:marTop w:val="0"/>
      <w:marBottom w:val="0"/>
      <w:divBdr>
        <w:top w:val="none" w:sz="0" w:space="0" w:color="auto"/>
        <w:left w:val="none" w:sz="0" w:space="0" w:color="auto"/>
        <w:bottom w:val="none" w:sz="0" w:space="0" w:color="auto"/>
        <w:right w:val="none" w:sz="0" w:space="0" w:color="auto"/>
      </w:divBdr>
    </w:div>
    <w:div w:id="211046131">
      <w:bodyDiv w:val="1"/>
      <w:marLeft w:val="0"/>
      <w:marRight w:val="0"/>
      <w:marTop w:val="0"/>
      <w:marBottom w:val="0"/>
      <w:divBdr>
        <w:top w:val="none" w:sz="0" w:space="0" w:color="auto"/>
        <w:left w:val="none" w:sz="0" w:space="0" w:color="auto"/>
        <w:bottom w:val="none" w:sz="0" w:space="0" w:color="auto"/>
        <w:right w:val="none" w:sz="0" w:space="0" w:color="auto"/>
      </w:divBdr>
    </w:div>
    <w:div w:id="214241893">
      <w:bodyDiv w:val="1"/>
      <w:marLeft w:val="0"/>
      <w:marRight w:val="0"/>
      <w:marTop w:val="0"/>
      <w:marBottom w:val="0"/>
      <w:divBdr>
        <w:top w:val="none" w:sz="0" w:space="0" w:color="auto"/>
        <w:left w:val="none" w:sz="0" w:space="0" w:color="auto"/>
        <w:bottom w:val="none" w:sz="0" w:space="0" w:color="auto"/>
        <w:right w:val="none" w:sz="0" w:space="0" w:color="auto"/>
      </w:divBdr>
    </w:div>
    <w:div w:id="248389719">
      <w:bodyDiv w:val="1"/>
      <w:marLeft w:val="0"/>
      <w:marRight w:val="0"/>
      <w:marTop w:val="0"/>
      <w:marBottom w:val="0"/>
      <w:divBdr>
        <w:top w:val="none" w:sz="0" w:space="0" w:color="auto"/>
        <w:left w:val="none" w:sz="0" w:space="0" w:color="auto"/>
        <w:bottom w:val="none" w:sz="0" w:space="0" w:color="auto"/>
        <w:right w:val="none" w:sz="0" w:space="0" w:color="auto"/>
      </w:divBdr>
    </w:div>
    <w:div w:id="291447644">
      <w:bodyDiv w:val="1"/>
      <w:marLeft w:val="0"/>
      <w:marRight w:val="0"/>
      <w:marTop w:val="0"/>
      <w:marBottom w:val="0"/>
      <w:divBdr>
        <w:top w:val="none" w:sz="0" w:space="0" w:color="auto"/>
        <w:left w:val="none" w:sz="0" w:space="0" w:color="auto"/>
        <w:bottom w:val="none" w:sz="0" w:space="0" w:color="auto"/>
        <w:right w:val="none" w:sz="0" w:space="0" w:color="auto"/>
      </w:divBdr>
    </w:div>
    <w:div w:id="293021023">
      <w:bodyDiv w:val="1"/>
      <w:marLeft w:val="0"/>
      <w:marRight w:val="0"/>
      <w:marTop w:val="0"/>
      <w:marBottom w:val="0"/>
      <w:divBdr>
        <w:top w:val="none" w:sz="0" w:space="0" w:color="auto"/>
        <w:left w:val="none" w:sz="0" w:space="0" w:color="auto"/>
        <w:bottom w:val="none" w:sz="0" w:space="0" w:color="auto"/>
        <w:right w:val="none" w:sz="0" w:space="0" w:color="auto"/>
      </w:divBdr>
    </w:div>
    <w:div w:id="349989166">
      <w:bodyDiv w:val="1"/>
      <w:marLeft w:val="0"/>
      <w:marRight w:val="0"/>
      <w:marTop w:val="0"/>
      <w:marBottom w:val="0"/>
      <w:divBdr>
        <w:top w:val="none" w:sz="0" w:space="0" w:color="auto"/>
        <w:left w:val="none" w:sz="0" w:space="0" w:color="auto"/>
        <w:bottom w:val="none" w:sz="0" w:space="0" w:color="auto"/>
        <w:right w:val="none" w:sz="0" w:space="0" w:color="auto"/>
      </w:divBdr>
    </w:div>
    <w:div w:id="356321718">
      <w:bodyDiv w:val="1"/>
      <w:marLeft w:val="0"/>
      <w:marRight w:val="0"/>
      <w:marTop w:val="0"/>
      <w:marBottom w:val="0"/>
      <w:divBdr>
        <w:top w:val="none" w:sz="0" w:space="0" w:color="auto"/>
        <w:left w:val="none" w:sz="0" w:space="0" w:color="auto"/>
        <w:bottom w:val="none" w:sz="0" w:space="0" w:color="auto"/>
        <w:right w:val="none" w:sz="0" w:space="0" w:color="auto"/>
      </w:divBdr>
    </w:div>
    <w:div w:id="357391116">
      <w:bodyDiv w:val="1"/>
      <w:marLeft w:val="0"/>
      <w:marRight w:val="0"/>
      <w:marTop w:val="0"/>
      <w:marBottom w:val="0"/>
      <w:divBdr>
        <w:top w:val="none" w:sz="0" w:space="0" w:color="auto"/>
        <w:left w:val="none" w:sz="0" w:space="0" w:color="auto"/>
        <w:bottom w:val="none" w:sz="0" w:space="0" w:color="auto"/>
        <w:right w:val="none" w:sz="0" w:space="0" w:color="auto"/>
      </w:divBdr>
    </w:div>
    <w:div w:id="359628594">
      <w:bodyDiv w:val="1"/>
      <w:marLeft w:val="0"/>
      <w:marRight w:val="0"/>
      <w:marTop w:val="0"/>
      <w:marBottom w:val="0"/>
      <w:divBdr>
        <w:top w:val="none" w:sz="0" w:space="0" w:color="auto"/>
        <w:left w:val="none" w:sz="0" w:space="0" w:color="auto"/>
        <w:bottom w:val="none" w:sz="0" w:space="0" w:color="auto"/>
        <w:right w:val="none" w:sz="0" w:space="0" w:color="auto"/>
      </w:divBdr>
    </w:div>
    <w:div w:id="371153248">
      <w:bodyDiv w:val="1"/>
      <w:marLeft w:val="0"/>
      <w:marRight w:val="0"/>
      <w:marTop w:val="0"/>
      <w:marBottom w:val="0"/>
      <w:divBdr>
        <w:top w:val="none" w:sz="0" w:space="0" w:color="auto"/>
        <w:left w:val="none" w:sz="0" w:space="0" w:color="auto"/>
        <w:bottom w:val="none" w:sz="0" w:space="0" w:color="auto"/>
        <w:right w:val="none" w:sz="0" w:space="0" w:color="auto"/>
      </w:divBdr>
    </w:div>
    <w:div w:id="390807319">
      <w:bodyDiv w:val="1"/>
      <w:marLeft w:val="0"/>
      <w:marRight w:val="0"/>
      <w:marTop w:val="0"/>
      <w:marBottom w:val="0"/>
      <w:divBdr>
        <w:top w:val="none" w:sz="0" w:space="0" w:color="auto"/>
        <w:left w:val="none" w:sz="0" w:space="0" w:color="auto"/>
        <w:bottom w:val="none" w:sz="0" w:space="0" w:color="auto"/>
        <w:right w:val="none" w:sz="0" w:space="0" w:color="auto"/>
      </w:divBdr>
    </w:div>
    <w:div w:id="391657616">
      <w:bodyDiv w:val="1"/>
      <w:marLeft w:val="0"/>
      <w:marRight w:val="0"/>
      <w:marTop w:val="0"/>
      <w:marBottom w:val="0"/>
      <w:divBdr>
        <w:top w:val="none" w:sz="0" w:space="0" w:color="auto"/>
        <w:left w:val="none" w:sz="0" w:space="0" w:color="auto"/>
        <w:bottom w:val="none" w:sz="0" w:space="0" w:color="auto"/>
        <w:right w:val="none" w:sz="0" w:space="0" w:color="auto"/>
      </w:divBdr>
    </w:div>
    <w:div w:id="428501543">
      <w:bodyDiv w:val="1"/>
      <w:marLeft w:val="0"/>
      <w:marRight w:val="0"/>
      <w:marTop w:val="0"/>
      <w:marBottom w:val="0"/>
      <w:divBdr>
        <w:top w:val="none" w:sz="0" w:space="0" w:color="auto"/>
        <w:left w:val="none" w:sz="0" w:space="0" w:color="auto"/>
        <w:bottom w:val="none" w:sz="0" w:space="0" w:color="auto"/>
        <w:right w:val="none" w:sz="0" w:space="0" w:color="auto"/>
      </w:divBdr>
    </w:div>
    <w:div w:id="448545717">
      <w:bodyDiv w:val="1"/>
      <w:marLeft w:val="0"/>
      <w:marRight w:val="0"/>
      <w:marTop w:val="0"/>
      <w:marBottom w:val="0"/>
      <w:divBdr>
        <w:top w:val="none" w:sz="0" w:space="0" w:color="auto"/>
        <w:left w:val="none" w:sz="0" w:space="0" w:color="auto"/>
        <w:bottom w:val="none" w:sz="0" w:space="0" w:color="auto"/>
        <w:right w:val="none" w:sz="0" w:space="0" w:color="auto"/>
      </w:divBdr>
    </w:div>
    <w:div w:id="485437749">
      <w:bodyDiv w:val="1"/>
      <w:marLeft w:val="0"/>
      <w:marRight w:val="0"/>
      <w:marTop w:val="0"/>
      <w:marBottom w:val="0"/>
      <w:divBdr>
        <w:top w:val="none" w:sz="0" w:space="0" w:color="auto"/>
        <w:left w:val="none" w:sz="0" w:space="0" w:color="auto"/>
        <w:bottom w:val="none" w:sz="0" w:space="0" w:color="auto"/>
        <w:right w:val="none" w:sz="0" w:space="0" w:color="auto"/>
      </w:divBdr>
    </w:div>
    <w:div w:id="496968038">
      <w:bodyDiv w:val="1"/>
      <w:marLeft w:val="0"/>
      <w:marRight w:val="0"/>
      <w:marTop w:val="0"/>
      <w:marBottom w:val="0"/>
      <w:divBdr>
        <w:top w:val="none" w:sz="0" w:space="0" w:color="auto"/>
        <w:left w:val="none" w:sz="0" w:space="0" w:color="auto"/>
        <w:bottom w:val="none" w:sz="0" w:space="0" w:color="auto"/>
        <w:right w:val="none" w:sz="0" w:space="0" w:color="auto"/>
      </w:divBdr>
    </w:div>
    <w:div w:id="510948655">
      <w:bodyDiv w:val="1"/>
      <w:marLeft w:val="0"/>
      <w:marRight w:val="0"/>
      <w:marTop w:val="0"/>
      <w:marBottom w:val="0"/>
      <w:divBdr>
        <w:top w:val="none" w:sz="0" w:space="0" w:color="auto"/>
        <w:left w:val="none" w:sz="0" w:space="0" w:color="auto"/>
        <w:bottom w:val="none" w:sz="0" w:space="0" w:color="auto"/>
        <w:right w:val="none" w:sz="0" w:space="0" w:color="auto"/>
      </w:divBdr>
    </w:div>
    <w:div w:id="511648893">
      <w:bodyDiv w:val="1"/>
      <w:marLeft w:val="0"/>
      <w:marRight w:val="0"/>
      <w:marTop w:val="0"/>
      <w:marBottom w:val="0"/>
      <w:divBdr>
        <w:top w:val="none" w:sz="0" w:space="0" w:color="auto"/>
        <w:left w:val="none" w:sz="0" w:space="0" w:color="auto"/>
        <w:bottom w:val="none" w:sz="0" w:space="0" w:color="auto"/>
        <w:right w:val="none" w:sz="0" w:space="0" w:color="auto"/>
      </w:divBdr>
    </w:div>
    <w:div w:id="542835485">
      <w:bodyDiv w:val="1"/>
      <w:marLeft w:val="0"/>
      <w:marRight w:val="0"/>
      <w:marTop w:val="0"/>
      <w:marBottom w:val="0"/>
      <w:divBdr>
        <w:top w:val="none" w:sz="0" w:space="0" w:color="auto"/>
        <w:left w:val="none" w:sz="0" w:space="0" w:color="auto"/>
        <w:bottom w:val="none" w:sz="0" w:space="0" w:color="auto"/>
        <w:right w:val="none" w:sz="0" w:space="0" w:color="auto"/>
      </w:divBdr>
    </w:div>
    <w:div w:id="554973760">
      <w:bodyDiv w:val="1"/>
      <w:marLeft w:val="0"/>
      <w:marRight w:val="0"/>
      <w:marTop w:val="0"/>
      <w:marBottom w:val="0"/>
      <w:divBdr>
        <w:top w:val="none" w:sz="0" w:space="0" w:color="auto"/>
        <w:left w:val="none" w:sz="0" w:space="0" w:color="auto"/>
        <w:bottom w:val="none" w:sz="0" w:space="0" w:color="auto"/>
        <w:right w:val="none" w:sz="0" w:space="0" w:color="auto"/>
      </w:divBdr>
    </w:div>
    <w:div w:id="581305544">
      <w:bodyDiv w:val="1"/>
      <w:marLeft w:val="0"/>
      <w:marRight w:val="0"/>
      <w:marTop w:val="0"/>
      <w:marBottom w:val="0"/>
      <w:divBdr>
        <w:top w:val="none" w:sz="0" w:space="0" w:color="auto"/>
        <w:left w:val="none" w:sz="0" w:space="0" w:color="auto"/>
        <w:bottom w:val="none" w:sz="0" w:space="0" w:color="auto"/>
        <w:right w:val="none" w:sz="0" w:space="0" w:color="auto"/>
      </w:divBdr>
    </w:div>
    <w:div w:id="624506440">
      <w:bodyDiv w:val="1"/>
      <w:marLeft w:val="0"/>
      <w:marRight w:val="0"/>
      <w:marTop w:val="0"/>
      <w:marBottom w:val="0"/>
      <w:divBdr>
        <w:top w:val="none" w:sz="0" w:space="0" w:color="auto"/>
        <w:left w:val="none" w:sz="0" w:space="0" w:color="auto"/>
        <w:bottom w:val="none" w:sz="0" w:space="0" w:color="auto"/>
        <w:right w:val="none" w:sz="0" w:space="0" w:color="auto"/>
      </w:divBdr>
    </w:div>
    <w:div w:id="646789206">
      <w:bodyDiv w:val="1"/>
      <w:marLeft w:val="0"/>
      <w:marRight w:val="0"/>
      <w:marTop w:val="0"/>
      <w:marBottom w:val="0"/>
      <w:divBdr>
        <w:top w:val="none" w:sz="0" w:space="0" w:color="auto"/>
        <w:left w:val="none" w:sz="0" w:space="0" w:color="auto"/>
        <w:bottom w:val="none" w:sz="0" w:space="0" w:color="auto"/>
        <w:right w:val="none" w:sz="0" w:space="0" w:color="auto"/>
      </w:divBdr>
    </w:div>
    <w:div w:id="647977323">
      <w:bodyDiv w:val="1"/>
      <w:marLeft w:val="0"/>
      <w:marRight w:val="0"/>
      <w:marTop w:val="0"/>
      <w:marBottom w:val="0"/>
      <w:divBdr>
        <w:top w:val="none" w:sz="0" w:space="0" w:color="auto"/>
        <w:left w:val="none" w:sz="0" w:space="0" w:color="auto"/>
        <w:bottom w:val="none" w:sz="0" w:space="0" w:color="auto"/>
        <w:right w:val="none" w:sz="0" w:space="0" w:color="auto"/>
      </w:divBdr>
    </w:div>
    <w:div w:id="648705621">
      <w:bodyDiv w:val="1"/>
      <w:marLeft w:val="0"/>
      <w:marRight w:val="0"/>
      <w:marTop w:val="0"/>
      <w:marBottom w:val="0"/>
      <w:divBdr>
        <w:top w:val="none" w:sz="0" w:space="0" w:color="auto"/>
        <w:left w:val="none" w:sz="0" w:space="0" w:color="auto"/>
        <w:bottom w:val="none" w:sz="0" w:space="0" w:color="auto"/>
        <w:right w:val="none" w:sz="0" w:space="0" w:color="auto"/>
      </w:divBdr>
    </w:div>
    <w:div w:id="678704985">
      <w:bodyDiv w:val="1"/>
      <w:marLeft w:val="0"/>
      <w:marRight w:val="0"/>
      <w:marTop w:val="0"/>
      <w:marBottom w:val="0"/>
      <w:divBdr>
        <w:top w:val="none" w:sz="0" w:space="0" w:color="auto"/>
        <w:left w:val="none" w:sz="0" w:space="0" w:color="auto"/>
        <w:bottom w:val="none" w:sz="0" w:space="0" w:color="auto"/>
        <w:right w:val="none" w:sz="0" w:space="0" w:color="auto"/>
      </w:divBdr>
    </w:div>
    <w:div w:id="722410142">
      <w:bodyDiv w:val="1"/>
      <w:marLeft w:val="0"/>
      <w:marRight w:val="0"/>
      <w:marTop w:val="0"/>
      <w:marBottom w:val="0"/>
      <w:divBdr>
        <w:top w:val="none" w:sz="0" w:space="0" w:color="auto"/>
        <w:left w:val="none" w:sz="0" w:space="0" w:color="auto"/>
        <w:bottom w:val="none" w:sz="0" w:space="0" w:color="auto"/>
        <w:right w:val="none" w:sz="0" w:space="0" w:color="auto"/>
      </w:divBdr>
    </w:div>
    <w:div w:id="724835594">
      <w:bodyDiv w:val="1"/>
      <w:marLeft w:val="0"/>
      <w:marRight w:val="0"/>
      <w:marTop w:val="0"/>
      <w:marBottom w:val="0"/>
      <w:divBdr>
        <w:top w:val="none" w:sz="0" w:space="0" w:color="auto"/>
        <w:left w:val="none" w:sz="0" w:space="0" w:color="auto"/>
        <w:bottom w:val="none" w:sz="0" w:space="0" w:color="auto"/>
        <w:right w:val="none" w:sz="0" w:space="0" w:color="auto"/>
      </w:divBdr>
    </w:div>
    <w:div w:id="745540885">
      <w:bodyDiv w:val="1"/>
      <w:marLeft w:val="0"/>
      <w:marRight w:val="0"/>
      <w:marTop w:val="0"/>
      <w:marBottom w:val="0"/>
      <w:divBdr>
        <w:top w:val="none" w:sz="0" w:space="0" w:color="auto"/>
        <w:left w:val="none" w:sz="0" w:space="0" w:color="auto"/>
        <w:bottom w:val="none" w:sz="0" w:space="0" w:color="auto"/>
        <w:right w:val="none" w:sz="0" w:space="0" w:color="auto"/>
      </w:divBdr>
    </w:div>
    <w:div w:id="765199450">
      <w:bodyDiv w:val="1"/>
      <w:marLeft w:val="0"/>
      <w:marRight w:val="0"/>
      <w:marTop w:val="0"/>
      <w:marBottom w:val="0"/>
      <w:divBdr>
        <w:top w:val="none" w:sz="0" w:space="0" w:color="auto"/>
        <w:left w:val="none" w:sz="0" w:space="0" w:color="auto"/>
        <w:bottom w:val="none" w:sz="0" w:space="0" w:color="auto"/>
        <w:right w:val="none" w:sz="0" w:space="0" w:color="auto"/>
      </w:divBdr>
    </w:div>
    <w:div w:id="790631004">
      <w:bodyDiv w:val="1"/>
      <w:marLeft w:val="0"/>
      <w:marRight w:val="0"/>
      <w:marTop w:val="0"/>
      <w:marBottom w:val="0"/>
      <w:divBdr>
        <w:top w:val="none" w:sz="0" w:space="0" w:color="auto"/>
        <w:left w:val="none" w:sz="0" w:space="0" w:color="auto"/>
        <w:bottom w:val="none" w:sz="0" w:space="0" w:color="auto"/>
        <w:right w:val="none" w:sz="0" w:space="0" w:color="auto"/>
      </w:divBdr>
    </w:div>
    <w:div w:id="832841077">
      <w:bodyDiv w:val="1"/>
      <w:marLeft w:val="0"/>
      <w:marRight w:val="0"/>
      <w:marTop w:val="0"/>
      <w:marBottom w:val="0"/>
      <w:divBdr>
        <w:top w:val="none" w:sz="0" w:space="0" w:color="auto"/>
        <w:left w:val="none" w:sz="0" w:space="0" w:color="auto"/>
        <w:bottom w:val="none" w:sz="0" w:space="0" w:color="auto"/>
        <w:right w:val="none" w:sz="0" w:space="0" w:color="auto"/>
      </w:divBdr>
    </w:div>
    <w:div w:id="847867618">
      <w:bodyDiv w:val="1"/>
      <w:marLeft w:val="0"/>
      <w:marRight w:val="0"/>
      <w:marTop w:val="0"/>
      <w:marBottom w:val="0"/>
      <w:divBdr>
        <w:top w:val="none" w:sz="0" w:space="0" w:color="auto"/>
        <w:left w:val="none" w:sz="0" w:space="0" w:color="auto"/>
        <w:bottom w:val="none" w:sz="0" w:space="0" w:color="auto"/>
        <w:right w:val="none" w:sz="0" w:space="0" w:color="auto"/>
      </w:divBdr>
    </w:div>
    <w:div w:id="940992419">
      <w:bodyDiv w:val="1"/>
      <w:marLeft w:val="0"/>
      <w:marRight w:val="0"/>
      <w:marTop w:val="0"/>
      <w:marBottom w:val="0"/>
      <w:divBdr>
        <w:top w:val="none" w:sz="0" w:space="0" w:color="auto"/>
        <w:left w:val="none" w:sz="0" w:space="0" w:color="auto"/>
        <w:bottom w:val="none" w:sz="0" w:space="0" w:color="auto"/>
        <w:right w:val="none" w:sz="0" w:space="0" w:color="auto"/>
      </w:divBdr>
    </w:div>
    <w:div w:id="946305867">
      <w:bodyDiv w:val="1"/>
      <w:marLeft w:val="0"/>
      <w:marRight w:val="0"/>
      <w:marTop w:val="0"/>
      <w:marBottom w:val="0"/>
      <w:divBdr>
        <w:top w:val="none" w:sz="0" w:space="0" w:color="auto"/>
        <w:left w:val="none" w:sz="0" w:space="0" w:color="auto"/>
        <w:bottom w:val="none" w:sz="0" w:space="0" w:color="auto"/>
        <w:right w:val="none" w:sz="0" w:space="0" w:color="auto"/>
      </w:divBdr>
    </w:div>
    <w:div w:id="984625193">
      <w:bodyDiv w:val="1"/>
      <w:marLeft w:val="0"/>
      <w:marRight w:val="0"/>
      <w:marTop w:val="0"/>
      <w:marBottom w:val="0"/>
      <w:divBdr>
        <w:top w:val="none" w:sz="0" w:space="0" w:color="auto"/>
        <w:left w:val="none" w:sz="0" w:space="0" w:color="auto"/>
        <w:bottom w:val="none" w:sz="0" w:space="0" w:color="auto"/>
        <w:right w:val="none" w:sz="0" w:space="0" w:color="auto"/>
      </w:divBdr>
    </w:div>
    <w:div w:id="985743962">
      <w:bodyDiv w:val="1"/>
      <w:marLeft w:val="0"/>
      <w:marRight w:val="0"/>
      <w:marTop w:val="0"/>
      <w:marBottom w:val="0"/>
      <w:divBdr>
        <w:top w:val="none" w:sz="0" w:space="0" w:color="auto"/>
        <w:left w:val="none" w:sz="0" w:space="0" w:color="auto"/>
        <w:bottom w:val="none" w:sz="0" w:space="0" w:color="auto"/>
        <w:right w:val="none" w:sz="0" w:space="0" w:color="auto"/>
      </w:divBdr>
    </w:div>
    <w:div w:id="1027174708">
      <w:bodyDiv w:val="1"/>
      <w:marLeft w:val="0"/>
      <w:marRight w:val="0"/>
      <w:marTop w:val="0"/>
      <w:marBottom w:val="0"/>
      <w:divBdr>
        <w:top w:val="none" w:sz="0" w:space="0" w:color="auto"/>
        <w:left w:val="none" w:sz="0" w:space="0" w:color="auto"/>
        <w:bottom w:val="none" w:sz="0" w:space="0" w:color="auto"/>
        <w:right w:val="none" w:sz="0" w:space="0" w:color="auto"/>
      </w:divBdr>
    </w:div>
    <w:div w:id="1047608725">
      <w:bodyDiv w:val="1"/>
      <w:marLeft w:val="0"/>
      <w:marRight w:val="0"/>
      <w:marTop w:val="0"/>
      <w:marBottom w:val="0"/>
      <w:divBdr>
        <w:top w:val="none" w:sz="0" w:space="0" w:color="auto"/>
        <w:left w:val="none" w:sz="0" w:space="0" w:color="auto"/>
        <w:bottom w:val="none" w:sz="0" w:space="0" w:color="auto"/>
        <w:right w:val="none" w:sz="0" w:space="0" w:color="auto"/>
      </w:divBdr>
    </w:div>
    <w:div w:id="1078018878">
      <w:bodyDiv w:val="1"/>
      <w:marLeft w:val="0"/>
      <w:marRight w:val="0"/>
      <w:marTop w:val="0"/>
      <w:marBottom w:val="0"/>
      <w:divBdr>
        <w:top w:val="none" w:sz="0" w:space="0" w:color="auto"/>
        <w:left w:val="none" w:sz="0" w:space="0" w:color="auto"/>
        <w:bottom w:val="none" w:sz="0" w:space="0" w:color="auto"/>
        <w:right w:val="none" w:sz="0" w:space="0" w:color="auto"/>
      </w:divBdr>
    </w:div>
    <w:div w:id="1079253140">
      <w:bodyDiv w:val="1"/>
      <w:marLeft w:val="0"/>
      <w:marRight w:val="0"/>
      <w:marTop w:val="0"/>
      <w:marBottom w:val="0"/>
      <w:divBdr>
        <w:top w:val="none" w:sz="0" w:space="0" w:color="auto"/>
        <w:left w:val="none" w:sz="0" w:space="0" w:color="auto"/>
        <w:bottom w:val="none" w:sz="0" w:space="0" w:color="auto"/>
        <w:right w:val="none" w:sz="0" w:space="0" w:color="auto"/>
      </w:divBdr>
    </w:div>
    <w:div w:id="1104962055">
      <w:bodyDiv w:val="1"/>
      <w:marLeft w:val="0"/>
      <w:marRight w:val="0"/>
      <w:marTop w:val="0"/>
      <w:marBottom w:val="0"/>
      <w:divBdr>
        <w:top w:val="none" w:sz="0" w:space="0" w:color="auto"/>
        <w:left w:val="none" w:sz="0" w:space="0" w:color="auto"/>
        <w:bottom w:val="none" w:sz="0" w:space="0" w:color="auto"/>
        <w:right w:val="none" w:sz="0" w:space="0" w:color="auto"/>
      </w:divBdr>
    </w:div>
    <w:div w:id="1131166519">
      <w:bodyDiv w:val="1"/>
      <w:marLeft w:val="0"/>
      <w:marRight w:val="0"/>
      <w:marTop w:val="0"/>
      <w:marBottom w:val="0"/>
      <w:divBdr>
        <w:top w:val="none" w:sz="0" w:space="0" w:color="auto"/>
        <w:left w:val="none" w:sz="0" w:space="0" w:color="auto"/>
        <w:bottom w:val="none" w:sz="0" w:space="0" w:color="auto"/>
        <w:right w:val="none" w:sz="0" w:space="0" w:color="auto"/>
      </w:divBdr>
    </w:div>
    <w:div w:id="1137605242">
      <w:bodyDiv w:val="1"/>
      <w:marLeft w:val="0"/>
      <w:marRight w:val="0"/>
      <w:marTop w:val="0"/>
      <w:marBottom w:val="0"/>
      <w:divBdr>
        <w:top w:val="none" w:sz="0" w:space="0" w:color="auto"/>
        <w:left w:val="none" w:sz="0" w:space="0" w:color="auto"/>
        <w:bottom w:val="none" w:sz="0" w:space="0" w:color="auto"/>
        <w:right w:val="none" w:sz="0" w:space="0" w:color="auto"/>
      </w:divBdr>
    </w:div>
    <w:div w:id="1174370363">
      <w:bodyDiv w:val="1"/>
      <w:marLeft w:val="0"/>
      <w:marRight w:val="0"/>
      <w:marTop w:val="0"/>
      <w:marBottom w:val="0"/>
      <w:divBdr>
        <w:top w:val="none" w:sz="0" w:space="0" w:color="auto"/>
        <w:left w:val="none" w:sz="0" w:space="0" w:color="auto"/>
        <w:bottom w:val="none" w:sz="0" w:space="0" w:color="auto"/>
        <w:right w:val="none" w:sz="0" w:space="0" w:color="auto"/>
      </w:divBdr>
    </w:div>
    <w:div w:id="1194030343">
      <w:bodyDiv w:val="1"/>
      <w:marLeft w:val="0"/>
      <w:marRight w:val="0"/>
      <w:marTop w:val="0"/>
      <w:marBottom w:val="0"/>
      <w:divBdr>
        <w:top w:val="none" w:sz="0" w:space="0" w:color="auto"/>
        <w:left w:val="none" w:sz="0" w:space="0" w:color="auto"/>
        <w:bottom w:val="none" w:sz="0" w:space="0" w:color="auto"/>
        <w:right w:val="none" w:sz="0" w:space="0" w:color="auto"/>
      </w:divBdr>
    </w:div>
    <w:div w:id="1219367502">
      <w:bodyDiv w:val="1"/>
      <w:marLeft w:val="0"/>
      <w:marRight w:val="0"/>
      <w:marTop w:val="0"/>
      <w:marBottom w:val="0"/>
      <w:divBdr>
        <w:top w:val="none" w:sz="0" w:space="0" w:color="auto"/>
        <w:left w:val="none" w:sz="0" w:space="0" w:color="auto"/>
        <w:bottom w:val="none" w:sz="0" w:space="0" w:color="auto"/>
        <w:right w:val="none" w:sz="0" w:space="0" w:color="auto"/>
      </w:divBdr>
    </w:div>
    <w:div w:id="1237787298">
      <w:bodyDiv w:val="1"/>
      <w:marLeft w:val="0"/>
      <w:marRight w:val="0"/>
      <w:marTop w:val="0"/>
      <w:marBottom w:val="0"/>
      <w:divBdr>
        <w:top w:val="none" w:sz="0" w:space="0" w:color="auto"/>
        <w:left w:val="none" w:sz="0" w:space="0" w:color="auto"/>
        <w:bottom w:val="none" w:sz="0" w:space="0" w:color="auto"/>
        <w:right w:val="none" w:sz="0" w:space="0" w:color="auto"/>
      </w:divBdr>
    </w:div>
    <w:div w:id="1247110087">
      <w:bodyDiv w:val="1"/>
      <w:marLeft w:val="0"/>
      <w:marRight w:val="0"/>
      <w:marTop w:val="0"/>
      <w:marBottom w:val="0"/>
      <w:divBdr>
        <w:top w:val="none" w:sz="0" w:space="0" w:color="auto"/>
        <w:left w:val="none" w:sz="0" w:space="0" w:color="auto"/>
        <w:bottom w:val="none" w:sz="0" w:space="0" w:color="auto"/>
        <w:right w:val="none" w:sz="0" w:space="0" w:color="auto"/>
      </w:divBdr>
    </w:div>
    <w:div w:id="1300381202">
      <w:bodyDiv w:val="1"/>
      <w:marLeft w:val="0"/>
      <w:marRight w:val="0"/>
      <w:marTop w:val="0"/>
      <w:marBottom w:val="0"/>
      <w:divBdr>
        <w:top w:val="none" w:sz="0" w:space="0" w:color="auto"/>
        <w:left w:val="none" w:sz="0" w:space="0" w:color="auto"/>
        <w:bottom w:val="none" w:sz="0" w:space="0" w:color="auto"/>
        <w:right w:val="none" w:sz="0" w:space="0" w:color="auto"/>
      </w:divBdr>
    </w:div>
    <w:div w:id="1423915805">
      <w:bodyDiv w:val="1"/>
      <w:marLeft w:val="0"/>
      <w:marRight w:val="0"/>
      <w:marTop w:val="0"/>
      <w:marBottom w:val="0"/>
      <w:divBdr>
        <w:top w:val="none" w:sz="0" w:space="0" w:color="auto"/>
        <w:left w:val="none" w:sz="0" w:space="0" w:color="auto"/>
        <w:bottom w:val="none" w:sz="0" w:space="0" w:color="auto"/>
        <w:right w:val="none" w:sz="0" w:space="0" w:color="auto"/>
      </w:divBdr>
    </w:div>
    <w:div w:id="1433167751">
      <w:bodyDiv w:val="1"/>
      <w:marLeft w:val="0"/>
      <w:marRight w:val="0"/>
      <w:marTop w:val="0"/>
      <w:marBottom w:val="0"/>
      <w:divBdr>
        <w:top w:val="none" w:sz="0" w:space="0" w:color="auto"/>
        <w:left w:val="none" w:sz="0" w:space="0" w:color="auto"/>
        <w:bottom w:val="none" w:sz="0" w:space="0" w:color="auto"/>
        <w:right w:val="none" w:sz="0" w:space="0" w:color="auto"/>
      </w:divBdr>
    </w:div>
    <w:div w:id="1448618504">
      <w:bodyDiv w:val="1"/>
      <w:marLeft w:val="0"/>
      <w:marRight w:val="0"/>
      <w:marTop w:val="0"/>
      <w:marBottom w:val="0"/>
      <w:divBdr>
        <w:top w:val="none" w:sz="0" w:space="0" w:color="auto"/>
        <w:left w:val="none" w:sz="0" w:space="0" w:color="auto"/>
        <w:bottom w:val="none" w:sz="0" w:space="0" w:color="auto"/>
        <w:right w:val="none" w:sz="0" w:space="0" w:color="auto"/>
      </w:divBdr>
    </w:div>
    <w:div w:id="1452282394">
      <w:bodyDiv w:val="1"/>
      <w:marLeft w:val="0"/>
      <w:marRight w:val="0"/>
      <w:marTop w:val="0"/>
      <w:marBottom w:val="0"/>
      <w:divBdr>
        <w:top w:val="none" w:sz="0" w:space="0" w:color="auto"/>
        <w:left w:val="none" w:sz="0" w:space="0" w:color="auto"/>
        <w:bottom w:val="none" w:sz="0" w:space="0" w:color="auto"/>
        <w:right w:val="none" w:sz="0" w:space="0" w:color="auto"/>
      </w:divBdr>
    </w:div>
    <w:div w:id="1467703725">
      <w:bodyDiv w:val="1"/>
      <w:marLeft w:val="0"/>
      <w:marRight w:val="0"/>
      <w:marTop w:val="0"/>
      <w:marBottom w:val="0"/>
      <w:divBdr>
        <w:top w:val="none" w:sz="0" w:space="0" w:color="auto"/>
        <w:left w:val="none" w:sz="0" w:space="0" w:color="auto"/>
        <w:bottom w:val="none" w:sz="0" w:space="0" w:color="auto"/>
        <w:right w:val="none" w:sz="0" w:space="0" w:color="auto"/>
      </w:divBdr>
    </w:div>
    <w:div w:id="1500271659">
      <w:bodyDiv w:val="1"/>
      <w:marLeft w:val="0"/>
      <w:marRight w:val="0"/>
      <w:marTop w:val="0"/>
      <w:marBottom w:val="0"/>
      <w:divBdr>
        <w:top w:val="none" w:sz="0" w:space="0" w:color="auto"/>
        <w:left w:val="none" w:sz="0" w:space="0" w:color="auto"/>
        <w:bottom w:val="none" w:sz="0" w:space="0" w:color="auto"/>
        <w:right w:val="none" w:sz="0" w:space="0" w:color="auto"/>
      </w:divBdr>
    </w:div>
    <w:div w:id="1543177285">
      <w:bodyDiv w:val="1"/>
      <w:marLeft w:val="0"/>
      <w:marRight w:val="0"/>
      <w:marTop w:val="0"/>
      <w:marBottom w:val="0"/>
      <w:divBdr>
        <w:top w:val="none" w:sz="0" w:space="0" w:color="auto"/>
        <w:left w:val="none" w:sz="0" w:space="0" w:color="auto"/>
        <w:bottom w:val="none" w:sz="0" w:space="0" w:color="auto"/>
        <w:right w:val="none" w:sz="0" w:space="0" w:color="auto"/>
      </w:divBdr>
    </w:div>
    <w:div w:id="1544829779">
      <w:bodyDiv w:val="1"/>
      <w:marLeft w:val="0"/>
      <w:marRight w:val="0"/>
      <w:marTop w:val="0"/>
      <w:marBottom w:val="0"/>
      <w:divBdr>
        <w:top w:val="none" w:sz="0" w:space="0" w:color="auto"/>
        <w:left w:val="none" w:sz="0" w:space="0" w:color="auto"/>
        <w:bottom w:val="none" w:sz="0" w:space="0" w:color="auto"/>
        <w:right w:val="none" w:sz="0" w:space="0" w:color="auto"/>
      </w:divBdr>
    </w:div>
    <w:div w:id="1600718075">
      <w:bodyDiv w:val="1"/>
      <w:marLeft w:val="0"/>
      <w:marRight w:val="0"/>
      <w:marTop w:val="0"/>
      <w:marBottom w:val="0"/>
      <w:divBdr>
        <w:top w:val="none" w:sz="0" w:space="0" w:color="auto"/>
        <w:left w:val="none" w:sz="0" w:space="0" w:color="auto"/>
        <w:bottom w:val="none" w:sz="0" w:space="0" w:color="auto"/>
        <w:right w:val="none" w:sz="0" w:space="0" w:color="auto"/>
      </w:divBdr>
    </w:div>
    <w:div w:id="1620332931">
      <w:bodyDiv w:val="1"/>
      <w:marLeft w:val="0"/>
      <w:marRight w:val="0"/>
      <w:marTop w:val="0"/>
      <w:marBottom w:val="0"/>
      <w:divBdr>
        <w:top w:val="none" w:sz="0" w:space="0" w:color="auto"/>
        <w:left w:val="none" w:sz="0" w:space="0" w:color="auto"/>
        <w:bottom w:val="none" w:sz="0" w:space="0" w:color="auto"/>
        <w:right w:val="none" w:sz="0" w:space="0" w:color="auto"/>
      </w:divBdr>
    </w:div>
    <w:div w:id="1668437015">
      <w:bodyDiv w:val="1"/>
      <w:marLeft w:val="0"/>
      <w:marRight w:val="0"/>
      <w:marTop w:val="0"/>
      <w:marBottom w:val="0"/>
      <w:divBdr>
        <w:top w:val="none" w:sz="0" w:space="0" w:color="auto"/>
        <w:left w:val="none" w:sz="0" w:space="0" w:color="auto"/>
        <w:bottom w:val="none" w:sz="0" w:space="0" w:color="auto"/>
        <w:right w:val="none" w:sz="0" w:space="0" w:color="auto"/>
      </w:divBdr>
    </w:div>
    <w:div w:id="1728919607">
      <w:bodyDiv w:val="1"/>
      <w:marLeft w:val="0"/>
      <w:marRight w:val="0"/>
      <w:marTop w:val="0"/>
      <w:marBottom w:val="0"/>
      <w:divBdr>
        <w:top w:val="none" w:sz="0" w:space="0" w:color="auto"/>
        <w:left w:val="none" w:sz="0" w:space="0" w:color="auto"/>
        <w:bottom w:val="none" w:sz="0" w:space="0" w:color="auto"/>
        <w:right w:val="none" w:sz="0" w:space="0" w:color="auto"/>
      </w:divBdr>
    </w:div>
    <w:div w:id="1744646387">
      <w:bodyDiv w:val="1"/>
      <w:marLeft w:val="0"/>
      <w:marRight w:val="0"/>
      <w:marTop w:val="0"/>
      <w:marBottom w:val="0"/>
      <w:divBdr>
        <w:top w:val="none" w:sz="0" w:space="0" w:color="auto"/>
        <w:left w:val="none" w:sz="0" w:space="0" w:color="auto"/>
        <w:bottom w:val="none" w:sz="0" w:space="0" w:color="auto"/>
        <w:right w:val="none" w:sz="0" w:space="0" w:color="auto"/>
      </w:divBdr>
    </w:div>
    <w:div w:id="1769886627">
      <w:bodyDiv w:val="1"/>
      <w:marLeft w:val="0"/>
      <w:marRight w:val="0"/>
      <w:marTop w:val="0"/>
      <w:marBottom w:val="0"/>
      <w:divBdr>
        <w:top w:val="none" w:sz="0" w:space="0" w:color="auto"/>
        <w:left w:val="none" w:sz="0" w:space="0" w:color="auto"/>
        <w:bottom w:val="none" w:sz="0" w:space="0" w:color="auto"/>
        <w:right w:val="none" w:sz="0" w:space="0" w:color="auto"/>
      </w:divBdr>
    </w:div>
    <w:div w:id="1784568716">
      <w:bodyDiv w:val="1"/>
      <w:marLeft w:val="0"/>
      <w:marRight w:val="0"/>
      <w:marTop w:val="0"/>
      <w:marBottom w:val="0"/>
      <w:divBdr>
        <w:top w:val="none" w:sz="0" w:space="0" w:color="auto"/>
        <w:left w:val="none" w:sz="0" w:space="0" w:color="auto"/>
        <w:bottom w:val="none" w:sz="0" w:space="0" w:color="auto"/>
        <w:right w:val="none" w:sz="0" w:space="0" w:color="auto"/>
      </w:divBdr>
    </w:div>
    <w:div w:id="1792629789">
      <w:bodyDiv w:val="1"/>
      <w:marLeft w:val="0"/>
      <w:marRight w:val="0"/>
      <w:marTop w:val="0"/>
      <w:marBottom w:val="0"/>
      <w:divBdr>
        <w:top w:val="none" w:sz="0" w:space="0" w:color="auto"/>
        <w:left w:val="none" w:sz="0" w:space="0" w:color="auto"/>
        <w:bottom w:val="none" w:sz="0" w:space="0" w:color="auto"/>
        <w:right w:val="none" w:sz="0" w:space="0" w:color="auto"/>
      </w:divBdr>
    </w:div>
    <w:div w:id="1801454763">
      <w:bodyDiv w:val="1"/>
      <w:marLeft w:val="0"/>
      <w:marRight w:val="0"/>
      <w:marTop w:val="0"/>
      <w:marBottom w:val="0"/>
      <w:divBdr>
        <w:top w:val="none" w:sz="0" w:space="0" w:color="auto"/>
        <w:left w:val="none" w:sz="0" w:space="0" w:color="auto"/>
        <w:bottom w:val="none" w:sz="0" w:space="0" w:color="auto"/>
        <w:right w:val="none" w:sz="0" w:space="0" w:color="auto"/>
      </w:divBdr>
    </w:div>
    <w:div w:id="1847938320">
      <w:bodyDiv w:val="1"/>
      <w:marLeft w:val="0"/>
      <w:marRight w:val="0"/>
      <w:marTop w:val="0"/>
      <w:marBottom w:val="0"/>
      <w:divBdr>
        <w:top w:val="none" w:sz="0" w:space="0" w:color="auto"/>
        <w:left w:val="none" w:sz="0" w:space="0" w:color="auto"/>
        <w:bottom w:val="none" w:sz="0" w:space="0" w:color="auto"/>
        <w:right w:val="none" w:sz="0" w:space="0" w:color="auto"/>
      </w:divBdr>
    </w:div>
    <w:div w:id="1860003429">
      <w:bodyDiv w:val="1"/>
      <w:marLeft w:val="0"/>
      <w:marRight w:val="0"/>
      <w:marTop w:val="0"/>
      <w:marBottom w:val="0"/>
      <w:divBdr>
        <w:top w:val="none" w:sz="0" w:space="0" w:color="auto"/>
        <w:left w:val="none" w:sz="0" w:space="0" w:color="auto"/>
        <w:bottom w:val="none" w:sz="0" w:space="0" w:color="auto"/>
        <w:right w:val="none" w:sz="0" w:space="0" w:color="auto"/>
      </w:divBdr>
    </w:div>
    <w:div w:id="187080147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
    <w:div w:id="1900968544">
      <w:bodyDiv w:val="1"/>
      <w:marLeft w:val="0"/>
      <w:marRight w:val="0"/>
      <w:marTop w:val="0"/>
      <w:marBottom w:val="0"/>
      <w:divBdr>
        <w:top w:val="none" w:sz="0" w:space="0" w:color="auto"/>
        <w:left w:val="none" w:sz="0" w:space="0" w:color="auto"/>
        <w:bottom w:val="none" w:sz="0" w:space="0" w:color="auto"/>
        <w:right w:val="none" w:sz="0" w:space="0" w:color="auto"/>
      </w:divBdr>
    </w:div>
    <w:div w:id="1903251841">
      <w:bodyDiv w:val="1"/>
      <w:marLeft w:val="0"/>
      <w:marRight w:val="0"/>
      <w:marTop w:val="0"/>
      <w:marBottom w:val="0"/>
      <w:divBdr>
        <w:top w:val="none" w:sz="0" w:space="0" w:color="auto"/>
        <w:left w:val="none" w:sz="0" w:space="0" w:color="auto"/>
        <w:bottom w:val="none" w:sz="0" w:space="0" w:color="auto"/>
        <w:right w:val="none" w:sz="0" w:space="0" w:color="auto"/>
      </w:divBdr>
    </w:div>
    <w:div w:id="1930112913">
      <w:bodyDiv w:val="1"/>
      <w:marLeft w:val="0"/>
      <w:marRight w:val="0"/>
      <w:marTop w:val="0"/>
      <w:marBottom w:val="0"/>
      <w:divBdr>
        <w:top w:val="none" w:sz="0" w:space="0" w:color="auto"/>
        <w:left w:val="none" w:sz="0" w:space="0" w:color="auto"/>
        <w:bottom w:val="none" w:sz="0" w:space="0" w:color="auto"/>
        <w:right w:val="none" w:sz="0" w:space="0" w:color="auto"/>
      </w:divBdr>
    </w:div>
    <w:div w:id="1937637552">
      <w:bodyDiv w:val="1"/>
      <w:marLeft w:val="0"/>
      <w:marRight w:val="0"/>
      <w:marTop w:val="0"/>
      <w:marBottom w:val="0"/>
      <w:divBdr>
        <w:top w:val="none" w:sz="0" w:space="0" w:color="auto"/>
        <w:left w:val="none" w:sz="0" w:space="0" w:color="auto"/>
        <w:bottom w:val="none" w:sz="0" w:space="0" w:color="auto"/>
        <w:right w:val="none" w:sz="0" w:space="0" w:color="auto"/>
      </w:divBdr>
    </w:div>
    <w:div w:id="1955937131">
      <w:bodyDiv w:val="1"/>
      <w:marLeft w:val="0"/>
      <w:marRight w:val="0"/>
      <w:marTop w:val="0"/>
      <w:marBottom w:val="0"/>
      <w:divBdr>
        <w:top w:val="none" w:sz="0" w:space="0" w:color="auto"/>
        <w:left w:val="none" w:sz="0" w:space="0" w:color="auto"/>
        <w:bottom w:val="none" w:sz="0" w:space="0" w:color="auto"/>
        <w:right w:val="none" w:sz="0" w:space="0" w:color="auto"/>
      </w:divBdr>
    </w:div>
    <w:div w:id="1974827545">
      <w:bodyDiv w:val="1"/>
      <w:marLeft w:val="0"/>
      <w:marRight w:val="0"/>
      <w:marTop w:val="0"/>
      <w:marBottom w:val="0"/>
      <w:divBdr>
        <w:top w:val="none" w:sz="0" w:space="0" w:color="auto"/>
        <w:left w:val="none" w:sz="0" w:space="0" w:color="auto"/>
        <w:bottom w:val="none" w:sz="0" w:space="0" w:color="auto"/>
        <w:right w:val="none" w:sz="0" w:space="0" w:color="auto"/>
      </w:divBdr>
    </w:div>
    <w:div w:id="2006200098">
      <w:bodyDiv w:val="1"/>
      <w:marLeft w:val="0"/>
      <w:marRight w:val="0"/>
      <w:marTop w:val="0"/>
      <w:marBottom w:val="0"/>
      <w:divBdr>
        <w:top w:val="none" w:sz="0" w:space="0" w:color="auto"/>
        <w:left w:val="none" w:sz="0" w:space="0" w:color="auto"/>
        <w:bottom w:val="none" w:sz="0" w:space="0" w:color="auto"/>
        <w:right w:val="none" w:sz="0" w:space="0" w:color="auto"/>
      </w:divBdr>
    </w:div>
    <w:div w:id="2006585718">
      <w:bodyDiv w:val="1"/>
      <w:marLeft w:val="0"/>
      <w:marRight w:val="0"/>
      <w:marTop w:val="0"/>
      <w:marBottom w:val="0"/>
      <w:divBdr>
        <w:top w:val="none" w:sz="0" w:space="0" w:color="auto"/>
        <w:left w:val="none" w:sz="0" w:space="0" w:color="auto"/>
        <w:bottom w:val="none" w:sz="0" w:space="0" w:color="auto"/>
        <w:right w:val="none" w:sz="0" w:space="0" w:color="auto"/>
      </w:divBdr>
    </w:div>
    <w:div w:id="2022272465">
      <w:bodyDiv w:val="1"/>
      <w:marLeft w:val="0"/>
      <w:marRight w:val="0"/>
      <w:marTop w:val="0"/>
      <w:marBottom w:val="0"/>
      <w:divBdr>
        <w:top w:val="none" w:sz="0" w:space="0" w:color="auto"/>
        <w:left w:val="none" w:sz="0" w:space="0" w:color="auto"/>
        <w:bottom w:val="none" w:sz="0" w:space="0" w:color="auto"/>
        <w:right w:val="none" w:sz="0" w:space="0" w:color="auto"/>
      </w:divBdr>
    </w:div>
    <w:div w:id="2075930589">
      <w:bodyDiv w:val="1"/>
      <w:marLeft w:val="0"/>
      <w:marRight w:val="0"/>
      <w:marTop w:val="0"/>
      <w:marBottom w:val="0"/>
      <w:divBdr>
        <w:top w:val="none" w:sz="0" w:space="0" w:color="auto"/>
        <w:left w:val="none" w:sz="0" w:space="0" w:color="auto"/>
        <w:bottom w:val="none" w:sz="0" w:space="0" w:color="auto"/>
        <w:right w:val="none" w:sz="0" w:space="0" w:color="auto"/>
      </w:divBdr>
    </w:div>
    <w:div w:id="2078282683">
      <w:bodyDiv w:val="1"/>
      <w:marLeft w:val="0"/>
      <w:marRight w:val="0"/>
      <w:marTop w:val="0"/>
      <w:marBottom w:val="0"/>
      <w:divBdr>
        <w:top w:val="none" w:sz="0" w:space="0" w:color="auto"/>
        <w:left w:val="none" w:sz="0" w:space="0" w:color="auto"/>
        <w:bottom w:val="none" w:sz="0" w:space="0" w:color="auto"/>
        <w:right w:val="none" w:sz="0" w:space="0" w:color="auto"/>
      </w:divBdr>
    </w:div>
    <w:div w:id="2083025008">
      <w:bodyDiv w:val="1"/>
      <w:marLeft w:val="0"/>
      <w:marRight w:val="0"/>
      <w:marTop w:val="0"/>
      <w:marBottom w:val="0"/>
      <w:divBdr>
        <w:top w:val="none" w:sz="0" w:space="0" w:color="auto"/>
        <w:left w:val="none" w:sz="0" w:space="0" w:color="auto"/>
        <w:bottom w:val="none" w:sz="0" w:space="0" w:color="auto"/>
        <w:right w:val="none" w:sz="0" w:space="0" w:color="auto"/>
      </w:divBdr>
    </w:div>
    <w:div w:id="2084986204">
      <w:bodyDiv w:val="1"/>
      <w:marLeft w:val="0"/>
      <w:marRight w:val="0"/>
      <w:marTop w:val="0"/>
      <w:marBottom w:val="0"/>
      <w:divBdr>
        <w:top w:val="none" w:sz="0" w:space="0" w:color="auto"/>
        <w:left w:val="none" w:sz="0" w:space="0" w:color="auto"/>
        <w:bottom w:val="none" w:sz="0" w:space="0" w:color="auto"/>
        <w:right w:val="none" w:sz="0" w:space="0" w:color="auto"/>
      </w:divBdr>
    </w:div>
    <w:div w:id="21144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Mas091</b:Tag>
    <b:SourceType>DocumentFromInternetSite</b:SourceType>
    <b:Guid>{D74D138B-FB7F-44FE-AA16-DD270F462497}</b:Guid>
    <b:Author>
      <b:Author>
        <b:Corporate>MassGIS</b:Corporate>
      </b:Author>
    </b:Author>
    <b:Title>MassGIS Data: Land Use (2005)</b:Title>
    <b:InternetSiteTitle>www.mass.gov</b:InternetSiteTitle>
    <b:Year>2009</b:Year>
    <b:URL>https://www.mass.gov/info-details/massgis-data-land-use-2005</b:URL>
    <b:Month>June</b:Month>
    <b:RefOrder>5</b:RefOrder>
  </b:Source>
  <b:Source>
    <b:Tag>Tow151</b:Tag>
    <b:SourceType>InternetSite</b:SourceType>
    <b:Guid>{9F5E5816-CC2C-4B22-A0ED-19B48EFC5989}</b:Guid>
    <b:Author>
      <b:Author>
        <b:Corporate>Town of Mashpee</b:Corporate>
      </b:Author>
    </b:Author>
    <b:Title>Mashpee Town Map</b:Title>
    <b:InternetSiteTitle>mashpeegis.maps.arcgis.com</b:InternetSiteTitle>
    <b:Year>2015</b:Year>
    <b:URL>https://mashpeegis.maps.arcgis.com/apps/webappviewer/index.html?id=4ff3b3d53b824f4385d72a434d2181fa</b:URL>
    <b:RefOrder>7</b:RefOrder>
  </b:Source>
  <b:Source>
    <b:Tag>Mas84</b:Tag>
    <b:SourceType>InternetSite</b:SourceType>
    <b:Guid>{D09F13EA-3C12-45CD-8956-2B61B00ACBFB}</b:Guid>
    <b:Author>
      <b:Author>
        <b:Corporate>Massachusetts Historical Commission</b:Corporate>
      </b:Author>
    </b:Author>
    <b:Title>MHC Reconnaissance Survey Town Report</b:Title>
    <b:InternetSiteTitle>www.sec.state.ma.us</b:InternetSiteTitle>
    <b:Year>1984</b:Year>
    <b:URL>https://www.sec.state.ma.us/mhc/mhcpdf/townreports/Cape/mas.pdf</b:URL>
    <b:RefOrder>6</b:RefOrder>
  </b:Source>
  <b:Source>
    <b:Tag>Mas5</b:Tag>
    <b:SourceType>InternetSite</b:SourceType>
    <b:Guid>{872159C7-3156-4D10-ABD7-7D954A846FBF}</b:Guid>
    <b:Author>
      <b:Author>
        <b:Corporate>Mashpee Wampanoag Tribe</b:Corporate>
      </b:Author>
    </b:Author>
    <b:Title>Mashpee Wampanoag Tribe</b:Title>
    <b:InternetSiteTitle>mashpeewampanoagtribe-nsn.gov</b:InternetSiteTitle>
    <b:URL>https://mashpeewampanoagtribe-nsn.gov/</b:URL>
    <b:RefOrder>3</b:RefOrder>
  </b:Source>
  <b:Source>
    <b:Tag>Mas</b:Tag>
    <b:SourceType>DocumentFromInternetSite</b:SourceType>
    <b:Guid>{3EEBEA18-0D1F-4F0A-BBCE-CAC689E53B3B}</b:Guid>
    <b:Title>Mashpee Wampanoag Tribe Aboriginal Rights</b:Title>
    <b:Author>
      <b:Author>
        <b:Corporate>Mashpee Wampanoag Tribe</b:Corporate>
      </b:Author>
    </b:Author>
    <b:InternetSiteTitle>Mashpee Wampanoag Tribe</b:InternetSiteTitle>
    <b:URL>https://mashpeewampanoagtribe-nsn.gov/aborignal-rights</b:URL>
    <b:RefOrder>4</b:RefOrder>
  </b:Source>
  <b:Source>
    <b:Tag>Mas1</b:Tag>
    <b:SourceType>InternetSite</b:SourceType>
    <b:Guid>{0E729ABC-EA63-4B47-8B19-CF5E0B88193E}</b:Guid>
    <b:Title>Vistas</b:Title>
    <b:City>https://www.mashpeemec.us/vistas/</b:City>
    <b:InternetSiteTitle>www.mashpeemec.us</b:InternetSiteTitle>
    <b:URL>https://www.mashpeemec.us/vistas/</b:URL>
    <b:Author>
      <b:Author>
        <b:Corporate>Mashpee Environmental Coalition</b:Corporate>
      </b:Author>
    </b:Author>
    <b:RefOrder>8</b:RefOrder>
  </b:Source>
  <b:Source>
    <b:Tag>The</b:Tag>
    <b:SourceType>DocumentFromInternetSite</b:SourceType>
    <b:Guid>{7194D43A-5942-455F-AD45-C64D99BF2BAF}</b:Guid>
    <b:Author>
      <b:Author>
        <b:Corporate>The Popponesset Beach Association</b:Corporate>
      </b:Author>
    </b:Author>
    <b:Title>History of the Popponesset Beach Area</b:Title>
    <b:InternetSiteTitle>www.popponessetbeachassociation.com</b:InternetSiteTitle>
    <b:URL>https://www.popponessetbeachassociation.com/history-of-popponesset.html</b:URL>
    <b:RefOrder>9</b:RefOrder>
  </b:Source>
  <b:Source>
    <b:Tag>Mas08</b:Tag>
    <b:SourceType>DocumentFromInternetSite</b:SourceType>
    <b:Guid>{9CE680F8-A1FE-41AC-8BAC-38E5F7B939D5}</b:Guid>
    <b:Author>
      <b:Author>
        <b:Corporate>Mashpee Historic District Commission</b:Corporate>
      </b:Author>
    </b:Author>
    <b:Title>Mashpee Historic District Manual</b:Title>
    <b:InternetSiteTitle>www.mashpeema.gov</b:InternetSiteTitle>
    <b:Year>2008</b:Year>
    <b:Month>June</b:Month>
    <b:Day>18</b:Day>
    <b:URL>https://www.mashpeema.gov/sites/g/files/vyhlif3426/f/uploads/mashpee_historic_district_manual_approved_6-18-08.pdf</b:URL>
    <b:RefOrder>10</b:RefOrder>
  </b:Source>
  <b:Source>
    <b:Tag>Tow17</b:Tag>
    <b:SourceType>DocumentFromInternetSite</b:SourceType>
    <b:Guid>{7C44899B-3390-492C-A942-72333209ADB6}</b:Guid>
    <b:Author>
      <b:Author>
        <b:Corporate>Town of Mashpee</b:Corporate>
      </b:Author>
    </b:Author>
    <b:Title>General Bylaws Town of Mashpee</b:Title>
    <b:InternetSiteTitle>www.mashpeema.gov</b:InternetSiteTitle>
    <b:Year>2020</b:Year>
    <b:Month>19</b:Month>
    <b:Day>October</b:Day>
    <b:URL>https://www.mashpeema.gov/sites/g/files/vyhlif3426/f/uploads/2020_town_code_3.pdf</b:URL>
    <b:RefOrder>11</b:RefOrder>
  </b:Source>
  <b:Source>
    <b:Tag>Pen</b:Tag>
    <b:SourceType>DocumentFromInternetSite</b:SourceType>
    <b:Guid>{A0F7DE0A-4CF1-48F5-9EFE-51183660A9B6}</b:Guid>
    <b:Author>
      <b:Author>
        <b:Corporate>Peninsula Council, Inc.</b:Corporate>
      </b:Author>
    </b:Author>
    <b:Title>History</b:Title>
    <b:InternetSiteTitle>peninsulacouncil.com</b:InternetSiteTitle>
    <b:URL>https://peninsulacouncil.com/the-peninsula-council/history/</b:URL>
    <b:RefOrder>12</b:RefOrder>
  </b:Source>
  <b:Source>
    <b:Tag>USF</b:Tag>
    <b:SourceType>DocumentFromInternetSite</b:SourceType>
    <b:Guid>{DFED66FE-B85C-4CC2-BBE9-F91E8B71FE02}</b:Guid>
    <b:Author>
      <b:Author>
        <b:Corporate>U.S. Fish &amp; Wildlife Service</b:Corporate>
      </b:Author>
    </b:Author>
    <b:Title>Wildlife &amp; Habitat</b:Title>
    <b:InternetSiteTitle>www.fws.gov</b:InternetSiteTitle>
    <b:URL>https://www.fws.gov/refuge/Mashpee/wildlife_and_habitat/index.html</b:URL>
    <b:RefOrder>13</b:RefOrder>
  </b:Source>
  <b:Source>
    <b:Tag>Tow212</b:Tag>
    <b:SourceType>DocumentFromInternetSite</b:SourceType>
    <b:Guid>{96BE8597-904A-4392-91ED-1D699F2BBBA1}</b:Guid>
    <b:Author>
      <b:Author>
        <b:Corporate>Town of Mashpee</b:Corporate>
      </b:Author>
    </b:Author>
    <b:Title>Zoning Bylaws of the Town of Mashpee</b:Title>
    <b:InternetSiteTitle>www.mashpeema.gov</b:InternetSiteTitle>
    <b:Year>2021</b:Year>
    <b:Month>October</b:Month>
    <b:Day>18</b:Day>
    <b:URL>https://www.mashpeema.gov/sites/g/files/vyhlif3426/f/uploads/2021_zoning_bylaws.pdf</b:URL>
    <b:RefOrder>14</b:RefOrder>
  </b:Source>
  <b:Source>
    <b:Tag>Uni05</b:Tag>
    <b:SourceType>Case</b:SourceType>
    <b:Guid>{96CBAFFC-CF3B-4B82-9FF1-A264C55286F2}</b:Guid>
    <b:Title>United States v. Winans, 198 U.S. 371</b:Title>
    <b:Year>1905</b:Year>
    <b:Month>April</b:Month>
    <b:Day>3-4</b:Day>
    <b:URL>https://supreme.justia.com/cases/federal/us/198/371/</b:URL>
    <b:CaseNumber>180</b:CaseNumber>
    <b:Court>U.S. Supreme Court</b:Court>
    <b:RefOrder>15</b:RefOrder>
  </b:Source>
  <b:Source>
    <b:Tag>Mit21</b:Tag>
    <b:SourceType>InternetSite</b:SourceType>
    <b:Guid>{4AA9A5CC-DB86-4125-A4AC-ECB6B07ADA5F}</b:Guid>
    <b:Title>The Guidebook to Massachusetts Land Use 2021</b:Title>
    <b:InternetSiteTitle>www.apa-ma.org</b:InternetSiteTitle>
    <b:Year>2021</b:Year>
    <b:URL>https://www.apa-ma.org/password-protected-chapter-one/</b:URL>
    <b:Author>
      <b:Author>
        <b:NameList>
          <b:Person>
            <b:Last>Mitchell</b:Last>
            <b:First>Robert</b:First>
            <b:Middle>P.</b:Middle>
          </b:Person>
          <b:Person>
            <b:Last>Ritchie</b:Last>
            <b:First>Robert</b:First>
            <b:Middle>W.</b:Middle>
          </b:Person>
        </b:NameList>
      </b:Author>
    </b:Author>
    <b:RefOrder>2</b:RefOrder>
  </b:Source>
  <b:Source>
    <b:Tag>MashSubdivision</b:Tag>
    <b:SourceType>DocumentFromInternetSite</b:SourceType>
    <b:Guid>{E9A3BC57-C948-4492-8726-5E650D342E1C}</b:Guid>
    <b:Author>
      <b:Author>
        <b:Corporate>Town of Mashpee</b:Corporate>
      </b:Author>
    </b:Author>
    <b:Title>Rules and Regulations Governing the Subdivision of Land</b:Title>
    <b:Year>2017</b:Year>
    <b:City>Mashpee, MA</b:City>
    <b:Publisher>Mashpee Planning Board</b:Publisher>
    <b:InternetSiteTitle>Town of Mashpee</b:InternetSiteTitle>
    <b:Month>November </b:Month>
    <b:Day>15</b:Day>
    <b:URL>https://www.mashpeema.gov/sites/g/files/vyhlif3426/f/uploads/mashpee_planning_board_special_permit_regulations_11-15-17_pdf_0.pdf</b:URL>
    <b:RefOrder>1</b:RefOrder>
  </b:Source>
</b:Sources>
</file>

<file path=customXml/itemProps1.xml><?xml version="1.0" encoding="utf-8"?>
<ds:datastoreItem xmlns:ds="http://schemas.openxmlformats.org/officeDocument/2006/customXml" ds:itemID="{363AE4AD-DBBC-4486-9E55-C13C0C2E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Sydnie</dc:creator>
  <cp:keywords/>
  <dc:description/>
  <cp:lastModifiedBy>Leeds, Logan</cp:lastModifiedBy>
  <cp:revision>7</cp:revision>
  <dcterms:created xsi:type="dcterms:W3CDTF">2024-02-23T16:19:00Z</dcterms:created>
  <dcterms:modified xsi:type="dcterms:W3CDTF">2024-02-29T20:31:00Z</dcterms:modified>
</cp:coreProperties>
</file>